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574675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ind w:left="4320"/>
        <w:spacing w:after="0"/>
        <w:rPr>
          <w:sz w:val="20"/>
          <w:szCs w:val="20"/>
          <w:color w:val="auto"/>
        </w:rPr>
      </w:pPr>
      <w:r>
        <w:rPr>
          <w:rFonts w:ascii="Arial" w:cs="Arial" w:eastAsia="Arial" w:hAnsi="Arial"/>
          <w:sz w:val="17"/>
          <w:szCs w:val="17"/>
          <w:color w:val="auto"/>
        </w:rPr>
        <w:t>___________________________</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10-K</w:t>
      </w:r>
    </w:p>
    <w:p>
      <w:pPr>
        <w:spacing w:after="0" w:line="19" w:lineRule="exact"/>
        <w:rPr>
          <w:sz w:val="24"/>
          <w:szCs w:val="24"/>
          <w:color w:val="auto"/>
        </w:rPr>
      </w:pPr>
    </w:p>
    <w:p>
      <w:pPr>
        <w:ind w:left="4360"/>
        <w:spacing w:after="0"/>
        <w:rPr>
          <w:sz w:val="20"/>
          <w:szCs w:val="20"/>
          <w:color w:val="auto"/>
        </w:rPr>
      </w:pPr>
      <w:r>
        <w:rPr>
          <w:rFonts w:ascii="Arial" w:cs="Arial" w:eastAsia="Arial" w:hAnsi="Arial"/>
          <w:sz w:val="17"/>
          <w:szCs w:val="17"/>
          <w:color w:val="auto"/>
        </w:rPr>
        <w:t>__________________________</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580" w:hanging="558"/>
        <w:spacing w:after="0"/>
        <w:tabs>
          <w:tab w:leader="none" w:pos="580" w:val="left"/>
        </w:tabs>
        <w:numPr>
          <w:ilvl w:val="0"/>
          <w:numId w:val="1"/>
        </w:numPr>
        <w:rPr>
          <w:rFonts w:ascii="Wingdings" w:cs="Wingdings" w:eastAsia="Wingdings" w:hAnsi="Wingdings"/>
          <w:sz w:val="14"/>
          <w:szCs w:val="14"/>
          <w:b w:val="1"/>
          <w:bCs w:val="1"/>
          <w:color w:val="auto"/>
        </w:rPr>
      </w:pPr>
      <w:r>
        <w:rPr>
          <w:rFonts w:ascii="Arial" w:cs="Arial" w:eastAsia="Arial" w:hAnsi="Arial"/>
          <w:sz w:val="14"/>
          <w:szCs w:val="14"/>
          <w:color w:val="auto"/>
        </w:rPr>
        <w:t>ANNUAL REPORT PURSUANT TO SECTION 13 OR 15(d) 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2025</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00" w:lineRule="exact"/>
        <w:rPr>
          <w:sz w:val="24"/>
          <w:szCs w:val="24"/>
          <w:color w:val="auto"/>
        </w:rPr>
      </w:pPr>
    </w:p>
    <w:p>
      <w:pPr>
        <w:ind w:left="580" w:hanging="558"/>
        <w:spacing w:after="0"/>
        <w:tabs>
          <w:tab w:leader="none" w:pos="580" w:val="left"/>
        </w:tabs>
        <w:numPr>
          <w:ilvl w:val="0"/>
          <w:numId w:val="2"/>
        </w:numPr>
        <w:rPr>
          <w:rFonts w:ascii="Wingdings" w:cs="Wingdings" w:eastAsia="Wingdings" w:hAnsi="Wingdings"/>
          <w:sz w:val="14"/>
          <w:szCs w:val="14"/>
          <w:b w:val="1"/>
          <w:bCs w:val="1"/>
          <w:color w:val="auto"/>
        </w:rPr>
      </w:pPr>
      <w:r>
        <w:rPr>
          <w:rFonts w:ascii="Arial" w:cs="Arial" w:eastAsia="Arial" w:hAnsi="Arial"/>
          <w:sz w:val="14"/>
          <w:szCs w:val="14"/>
          <w:color w:val="auto"/>
        </w:rPr>
        <w:t>TRANSITION REPORT PURSUANT TO SECTION 13 OR 15(d) OF THE SECURITIES EXCHANGE ACT OF 1934 FOR THE TRANSITION PERIOD FROM____ to _____</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 001-42504</w:t>
      </w:r>
    </w:p>
    <w:p>
      <w:pPr>
        <w:spacing w:after="0" w:line="17" w:lineRule="exact"/>
        <w:rPr>
          <w:sz w:val="24"/>
          <w:szCs w:val="24"/>
          <w:color w:val="auto"/>
        </w:rPr>
      </w:pPr>
    </w:p>
    <w:p>
      <w:pPr>
        <w:ind w:left="3260"/>
        <w:spacing w:after="0"/>
        <w:rPr>
          <w:sz w:val="20"/>
          <w:szCs w:val="20"/>
          <w:color w:val="auto"/>
        </w:rPr>
      </w:pPr>
      <w:r>
        <w:rPr>
          <w:rFonts w:ascii="Arial" w:cs="Arial" w:eastAsia="Arial" w:hAnsi="Arial"/>
          <w:sz w:val="17"/>
          <w:szCs w:val="17"/>
          <w:color w:val="auto"/>
        </w:rPr>
        <w:t>_________________________________________________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SIONNA THERAPEUTICS, INC.</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5" w:lineRule="exact"/>
        <w:rPr>
          <w:sz w:val="24"/>
          <w:szCs w:val="24"/>
          <w:color w:val="auto"/>
        </w:rPr>
      </w:pPr>
    </w:p>
    <w:p>
      <w:pPr>
        <w:ind w:left="3260"/>
        <w:spacing w:after="0"/>
        <w:rPr>
          <w:sz w:val="20"/>
          <w:szCs w:val="20"/>
          <w:color w:val="auto"/>
        </w:rPr>
      </w:pPr>
      <w:r>
        <w:rPr>
          <w:rFonts w:ascii="Arial" w:cs="Arial" w:eastAsia="Arial" w:hAnsi="Arial"/>
          <w:sz w:val="17"/>
          <w:szCs w:val="17"/>
          <w:color w:val="auto"/>
        </w:rPr>
        <w:t>_________________________________________________</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jc w:val="center"/>
              <w:ind w:left="730"/>
              <w:spacing w:after="0"/>
              <w:rPr>
                <w:sz w:val="20"/>
                <w:szCs w:val="20"/>
                <w:color w:val="auto"/>
              </w:rPr>
            </w:pPr>
            <w:r>
              <w:rPr>
                <w:rFonts w:ascii="Arial" w:cs="Arial" w:eastAsia="Arial" w:hAnsi="Arial"/>
                <w:sz w:val="14"/>
                <w:szCs w:val="14"/>
                <w:b w:val="1"/>
                <w:bCs w:val="1"/>
                <w:color w:val="auto"/>
              </w:rPr>
              <w:t>Delaware</w:t>
            </w:r>
          </w:p>
        </w:tc>
        <w:tc>
          <w:tcPr>
            <w:tcW w:w="1980" w:type="dxa"/>
            <w:vAlign w:val="bottom"/>
          </w:tcPr>
          <w:p>
            <w:pPr>
              <w:spacing w:after="0"/>
              <w:rPr>
                <w:sz w:val="16"/>
                <w:szCs w:val="16"/>
                <w:color w:val="auto"/>
              </w:rPr>
            </w:pPr>
          </w:p>
        </w:tc>
        <w:tc>
          <w:tcPr>
            <w:tcW w:w="4440" w:type="dxa"/>
            <w:vAlign w:val="bottom"/>
          </w:tcPr>
          <w:p>
            <w:pPr>
              <w:jc w:val="right"/>
              <w:ind w:right="2370"/>
              <w:spacing w:after="0"/>
              <w:rPr>
                <w:sz w:val="20"/>
                <w:szCs w:val="20"/>
                <w:color w:val="auto"/>
              </w:rPr>
            </w:pPr>
            <w:r>
              <w:rPr>
                <w:rFonts w:ascii="Arial" w:cs="Arial" w:eastAsia="Arial" w:hAnsi="Arial"/>
                <w:sz w:val="14"/>
                <w:szCs w:val="14"/>
                <w:b w:val="1"/>
                <w:bCs w:val="1"/>
                <w:color w:val="auto"/>
              </w:rPr>
              <w:t>84-2801521</w:t>
            </w:r>
          </w:p>
        </w:tc>
      </w:tr>
      <w:tr>
        <w:trPr>
          <w:trHeight w:val="214"/>
        </w:trPr>
        <w:tc>
          <w:tcPr>
            <w:tcW w:w="4820" w:type="dxa"/>
            <w:vAlign w:val="bottom"/>
          </w:tcPr>
          <w:p>
            <w:pPr>
              <w:jc w:val="center"/>
              <w:ind w:left="730"/>
              <w:spacing w:after="0"/>
              <w:rPr>
                <w:sz w:val="20"/>
                <w:szCs w:val="20"/>
                <w:color w:val="auto"/>
              </w:rPr>
            </w:pPr>
            <w:r>
              <w:rPr>
                <w:rFonts w:ascii="Arial" w:cs="Arial" w:eastAsia="Arial" w:hAnsi="Arial"/>
                <w:sz w:val="14"/>
                <w:szCs w:val="14"/>
                <w:color w:val="auto"/>
                <w:w w:val="99"/>
              </w:rPr>
              <w:t>(State or other jurisdiction of incorporation or organization)</w:t>
            </w:r>
          </w:p>
        </w:tc>
        <w:tc>
          <w:tcPr>
            <w:tcW w:w="1980" w:type="dxa"/>
            <w:vAlign w:val="bottom"/>
          </w:tcPr>
          <w:p>
            <w:pPr>
              <w:spacing w:after="0"/>
              <w:rPr>
                <w:sz w:val="18"/>
                <w:szCs w:val="18"/>
                <w:color w:val="auto"/>
              </w:rPr>
            </w:pPr>
          </w:p>
        </w:tc>
        <w:tc>
          <w:tcPr>
            <w:tcW w:w="4440" w:type="dxa"/>
            <w:vAlign w:val="bottom"/>
          </w:tcPr>
          <w:p>
            <w:pPr>
              <w:jc w:val="center"/>
              <w:ind w:right="1110"/>
              <w:spacing w:after="0"/>
              <w:rPr>
                <w:sz w:val="20"/>
                <w:szCs w:val="20"/>
                <w:color w:val="auto"/>
              </w:rPr>
            </w:pPr>
            <w:r>
              <w:rPr>
                <w:rFonts w:ascii="Arial" w:cs="Arial" w:eastAsia="Arial" w:hAnsi="Arial"/>
                <w:sz w:val="14"/>
                <w:szCs w:val="14"/>
                <w:color w:val="auto"/>
                <w:w w:val="99"/>
              </w:rPr>
              <w:t>(I.R.S. Employer Identification No.)</w:t>
            </w:r>
          </w:p>
        </w:tc>
      </w:tr>
      <w:tr>
        <w:trPr>
          <w:trHeight w:val="230"/>
        </w:trPr>
        <w:tc>
          <w:tcPr>
            <w:tcW w:w="4820" w:type="dxa"/>
            <w:vAlign w:val="bottom"/>
          </w:tcPr>
          <w:p>
            <w:pPr>
              <w:jc w:val="center"/>
              <w:ind w:left="730"/>
              <w:spacing w:after="0"/>
              <w:rPr>
                <w:sz w:val="20"/>
                <w:szCs w:val="20"/>
                <w:color w:val="auto"/>
              </w:rPr>
            </w:pPr>
            <w:r>
              <w:rPr>
                <w:rFonts w:ascii="Arial" w:cs="Arial" w:eastAsia="Arial" w:hAnsi="Arial"/>
                <w:sz w:val="14"/>
                <w:szCs w:val="14"/>
                <w:b w:val="1"/>
                <w:bCs w:val="1"/>
                <w:color w:val="auto"/>
                <w:w w:val="99"/>
              </w:rPr>
              <w:t>21 Hickory Drive, Suite 500, Waltham, MA</w:t>
            </w:r>
          </w:p>
        </w:tc>
        <w:tc>
          <w:tcPr>
            <w:tcW w:w="1980" w:type="dxa"/>
            <w:vAlign w:val="bottom"/>
          </w:tcPr>
          <w:p>
            <w:pPr>
              <w:spacing w:after="0"/>
              <w:rPr>
                <w:sz w:val="19"/>
                <w:szCs w:val="19"/>
                <w:color w:val="auto"/>
              </w:rPr>
            </w:pPr>
          </w:p>
        </w:tc>
        <w:tc>
          <w:tcPr>
            <w:tcW w:w="4440" w:type="dxa"/>
            <w:vAlign w:val="bottom"/>
          </w:tcPr>
          <w:p>
            <w:pPr>
              <w:jc w:val="right"/>
              <w:ind w:right="2550"/>
              <w:spacing w:after="0"/>
              <w:rPr>
                <w:sz w:val="20"/>
                <w:szCs w:val="20"/>
                <w:color w:val="auto"/>
              </w:rPr>
            </w:pPr>
            <w:r>
              <w:rPr>
                <w:rFonts w:ascii="Arial" w:cs="Arial" w:eastAsia="Arial" w:hAnsi="Arial"/>
                <w:sz w:val="14"/>
                <w:szCs w:val="14"/>
                <w:b w:val="1"/>
                <w:bCs w:val="1"/>
                <w:color w:val="auto"/>
              </w:rPr>
              <w:t>02451</w:t>
            </w:r>
          </w:p>
        </w:tc>
      </w:tr>
      <w:tr>
        <w:trPr>
          <w:trHeight w:val="214"/>
        </w:trPr>
        <w:tc>
          <w:tcPr>
            <w:tcW w:w="4820" w:type="dxa"/>
            <w:vAlign w:val="bottom"/>
          </w:tcPr>
          <w:p>
            <w:pPr>
              <w:jc w:val="center"/>
              <w:ind w:left="730"/>
              <w:spacing w:after="0"/>
              <w:rPr>
                <w:sz w:val="20"/>
                <w:szCs w:val="20"/>
                <w:color w:val="auto"/>
              </w:rPr>
            </w:pPr>
            <w:r>
              <w:rPr>
                <w:rFonts w:ascii="Arial" w:cs="Arial" w:eastAsia="Arial" w:hAnsi="Arial"/>
                <w:sz w:val="14"/>
                <w:szCs w:val="14"/>
                <w:color w:val="auto"/>
                <w:w w:val="99"/>
              </w:rPr>
              <w:t>(Address of principal executive offices)</w:t>
            </w:r>
          </w:p>
        </w:tc>
        <w:tc>
          <w:tcPr>
            <w:tcW w:w="1980" w:type="dxa"/>
            <w:vAlign w:val="bottom"/>
          </w:tcPr>
          <w:p>
            <w:pPr>
              <w:spacing w:after="0"/>
              <w:rPr>
                <w:sz w:val="18"/>
                <w:szCs w:val="18"/>
                <w:color w:val="auto"/>
              </w:rPr>
            </w:pPr>
          </w:p>
        </w:tc>
        <w:tc>
          <w:tcPr>
            <w:tcW w:w="4440" w:type="dxa"/>
            <w:vAlign w:val="bottom"/>
          </w:tcPr>
          <w:p>
            <w:pPr>
              <w:jc w:val="center"/>
              <w:ind w:right="1110"/>
              <w:spacing w:after="0"/>
              <w:rPr>
                <w:sz w:val="20"/>
                <w:szCs w:val="20"/>
                <w:color w:val="auto"/>
              </w:rPr>
            </w:pPr>
            <w:r>
              <w:rPr>
                <w:rFonts w:ascii="Arial" w:cs="Arial" w:eastAsia="Arial" w:hAnsi="Arial"/>
                <w:sz w:val="14"/>
                <w:szCs w:val="14"/>
                <w:color w:val="auto"/>
                <w:w w:val="99"/>
              </w:rPr>
              <w:t>(Zip Code)</w:t>
            </w:r>
          </w:p>
        </w:tc>
      </w:tr>
      <w:tr>
        <w:trPr>
          <w:trHeight w:val="491"/>
        </w:trPr>
        <w:tc>
          <w:tcPr>
            <w:tcW w:w="11240" w:type="dxa"/>
            <w:vAlign w:val="bottom"/>
            <w:gridSpan w:val="3"/>
          </w:tcPr>
          <w:p>
            <w:pPr>
              <w:ind w:left="38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(617) 819-2020</w:t>
            </w:r>
          </w:p>
        </w:tc>
      </w:tr>
      <w:tr>
        <w:trPr>
          <w:trHeight w:val="371"/>
        </w:trPr>
        <w:tc>
          <w:tcPr>
            <w:tcW w:w="48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9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37"/>
        </w:trPr>
        <w:tc>
          <w:tcPr>
            <w:tcW w:w="4820" w:type="dxa"/>
            <w:vAlign w:val="bottom"/>
            <w:tcBorders>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w w:val="99"/>
              </w:rPr>
              <w:t>Title of each class</w:t>
            </w:r>
          </w:p>
        </w:tc>
        <w:tc>
          <w:tcPr>
            <w:tcW w:w="1980" w:type="dxa"/>
            <w:vAlign w:val="bottom"/>
            <w:tcBorders>
              <w:bottom w:val="single" w:sz="8" w:color="auto"/>
            </w:tcBorders>
          </w:tcPr>
          <w:p>
            <w:pPr>
              <w:jc w:val="center"/>
              <w:ind w:right="290"/>
              <w:spacing w:after="0"/>
              <w:rPr>
                <w:sz w:val="20"/>
                <w:szCs w:val="20"/>
                <w:color w:val="auto"/>
              </w:rPr>
            </w:pPr>
            <w:r>
              <w:rPr>
                <w:rFonts w:ascii="Arial" w:cs="Arial" w:eastAsia="Arial" w:hAnsi="Arial"/>
                <w:sz w:val="14"/>
                <w:szCs w:val="14"/>
                <w:b w:val="1"/>
                <w:bCs w:val="1"/>
                <w:color w:val="auto"/>
                <w:w w:val="99"/>
              </w:rPr>
              <w:t>Trading Symbol(s)</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Name of each exchange on which registered</w:t>
            </w:r>
          </w:p>
        </w:tc>
      </w:tr>
      <w:tr>
        <w:trPr>
          <w:trHeight w:val="200"/>
        </w:trPr>
        <w:tc>
          <w:tcPr>
            <w:tcW w:w="4820" w:type="dxa"/>
            <w:vAlign w:val="bottom"/>
          </w:tcPr>
          <w:p>
            <w:pPr>
              <w:jc w:val="center"/>
              <w:ind w:right="230"/>
              <w:spacing w:after="0"/>
              <w:rPr>
                <w:sz w:val="20"/>
                <w:szCs w:val="20"/>
                <w:color w:val="auto"/>
              </w:rPr>
            </w:pPr>
            <w:r>
              <w:rPr>
                <w:rFonts w:ascii="Arial" w:cs="Arial" w:eastAsia="Arial" w:hAnsi="Arial"/>
                <w:sz w:val="14"/>
                <w:szCs w:val="14"/>
                <w:color w:val="auto"/>
                <w:w w:val="98"/>
              </w:rPr>
              <w:t>Common Stock, $0.001 par value per share</w:t>
            </w:r>
          </w:p>
        </w:tc>
        <w:tc>
          <w:tcPr>
            <w:tcW w:w="1980" w:type="dxa"/>
            <w:vAlign w:val="bottom"/>
          </w:tcPr>
          <w:p>
            <w:pPr>
              <w:jc w:val="center"/>
              <w:ind w:right="290"/>
              <w:spacing w:after="0"/>
              <w:rPr>
                <w:sz w:val="20"/>
                <w:szCs w:val="20"/>
                <w:color w:val="auto"/>
              </w:rPr>
            </w:pPr>
            <w:r>
              <w:rPr>
                <w:rFonts w:ascii="Arial" w:cs="Arial" w:eastAsia="Arial" w:hAnsi="Arial"/>
                <w:sz w:val="14"/>
                <w:szCs w:val="14"/>
                <w:color w:val="auto"/>
                <w:w w:val="99"/>
              </w:rPr>
              <w:t>SION</w:t>
            </w:r>
          </w:p>
        </w:tc>
        <w:tc>
          <w:tcPr>
            <w:tcW w:w="4440" w:type="dxa"/>
            <w:vAlign w:val="bottom"/>
          </w:tcPr>
          <w:p>
            <w:pPr>
              <w:jc w:val="center"/>
              <w:spacing w:after="0"/>
              <w:rPr>
                <w:sz w:val="20"/>
                <w:szCs w:val="20"/>
                <w:color w:val="auto"/>
              </w:rPr>
            </w:pPr>
            <w:r>
              <w:rPr>
                <w:rFonts w:ascii="Arial" w:cs="Arial" w:eastAsia="Arial" w:hAnsi="Arial"/>
                <w:sz w:val="14"/>
                <w:szCs w:val="14"/>
                <w:color w:val="auto"/>
                <w:w w:val="99"/>
              </w:rPr>
              <w:t>The Nasdaq Global Market</w:t>
            </w:r>
          </w:p>
        </w:tc>
      </w:tr>
    </w:tbl>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205" w:lineRule="exact"/>
        <w:rPr>
          <w:sz w:val="24"/>
          <w:szCs w:val="24"/>
          <w:color w:val="auto"/>
        </w:rPr>
      </w:pPr>
    </w:p>
    <w:p>
      <w:pPr>
        <w:ind w:right="3140"/>
        <w:spacing w:after="0" w:line="283" w:lineRule="auto"/>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x</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x</w:t>
      </w:r>
    </w:p>
    <w:p>
      <w:pPr>
        <w:spacing w:after="0" w:line="1" w:lineRule="exact"/>
        <w:rPr>
          <w:sz w:val="24"/>
          <w:szCs w:val="24"/>
          <w:color w:val="auto"/>
        </w:rPr>
      </w:pPr>
    </w:p>
    <w:p>
      <w:pPr>
        <w:ind w:right="180"/>
        <w:spacing w:after="0" w:line="243"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23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20" w:type="dxa"/>
            <w:vAlign w:val="bottom"/>
          </w:tcPr>
          <w:p>
            <w:pPr>
              <w:ind w:left="860"/>
              <w:spacing w:after="0"/>
              <w:rPr>
                <w:sz w:val="20"/>
                <w:szCs w:val="20"/>
                <w:color w:val="auto"/>
              </w:rPr>
            </w:pPr>
            <w:r>
              <w:rPr>
                <w:rFonts w:ascii="Wingdings" w:cs="Wingdings" w:eastAsia="Wingdings" w:hAnsi="Wingdings"/>
                <w:sz w:val="14"/>
                <w:szCs w:val="14"/>
                <w:b w:val="1"/>
                <w:bCs w:val="1"/>
                <w:color w:val="auto"/>
              </w:rPr>
              <w:t>o</w:t>
            </w:r>
          </w:p>
        </w:tc>
        <w:tc>
          <w:tcPr>
            <w:tcW w:w="4500" w:type="dxa"/>
            <w:vAlign w:val="bottom"/>
          </w:tcPr>
          <w:p>
            <w:pPr>
              <w:ind w:left="212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rPr>
                <w:sz w:val="20"/>
                <w:szCs w:val="20"/>
                <w:color w:val="auto"/>
              </w:rPr>
            </w:pPr>
            <w:r>
              <w:rPr>
                <w:rFonts w:ascii="Wingdings" w:cs="Wingdings" w:eastAsia="Wingdings" w:hAnsi="Wingdings"/>
                <w:sz w:val="14"/>
                <w:szCs w:val="14"/>
                <w:b w:val="1"/>
                <w:bCs w:val="1"/>
                <w:color w:val="auto"/>
                <w:w w:val="95"/>
              </w:rPr>
              <w:t>o</w:t>
            </w:r>
          </w:p>
        </w:tc>
      </w:tr>
      <w:tr>
        <w:trPr>
          <w:trHeight w:val="274"/>
        </w:trPr>
        <w:tc>
          <w:tcPr>
            <w:tcW w:w="2240" w:type="dxa"/>
            <w:vAlign w:val="bottom"/>
          </w:tcPr>
          <w:p>
            <w:pPr>
              <w:spacing w:after="0"/>
              <w:rPr>
                <w:sz w:val="20"/>
                <w:szCs w:val="20"/>
                <w:color w:val="auto"/>
              </w:rPr>
            </w:pPr>
            <w:r>
              <w:rPr>
                <w:rFonts w:ascii="Arial" w:cs="Arial" w:eastAsia="Arial" w:hAnsi="Arial"/>
                <w:sz w:val="14"/>
                <w:szCs w:val="14"/>
                <w:color w:val="auto"/>
              </w:rPr>
              <w:t>Non-accelerated filer</w:t>
            </w:r>
          </w:p>
        </w:tc>
        <w:tc>
          <w:tcPr>
            <w:tcW w:w="3120" w:type="dxa"/>
            <w:vAlign w:val="bottom"/>
          </w:tcPr>
          <w:p>
            <w:pPr>
              <w:ind w:left="860"/>
              <w:spacing w:after="0"/>
              <w:rPr>
                <w:sz w:val="20"/>
                <w:szCs w:val="20"/>
                <w:color w:val="auto"/>
              </w:rPr>
            </w:pPr>
            <w:r>
              <w:rPr>
                <w:rFonts w:ascii="Wingdings" w:cs="Wingdings" w:eastAsia="Wingdings" w:hAnsi="Wingdings"/>
                <w:sz w:val="14"/>
                <w:szCs w:val="14"/>
                <w:b w:val="1"/>
                <w:bCs w:val="1"/>
                <w:color w:val="auto"/>
              </w:rPr>
              <w:t>x</w:t>
            </w:r>
          </w:p>
        </w:tc>
        <w:tc>
          <w:tcPr>
            <w:tcW w:w="4500" w:type="dxa"/>
            <w:vAlign w:val="bottom"/>
          </w:tcPr>
          <w:p>
            <w:pPr>
              <w:ind w:left="212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rPr>
                <w:sz w:val="20"/>
                <w:szCs w:val="20"/>
                <w:color w:val="auto"/>
              </w:rPr>
            </w:pPr>
            <w:r>
              <w:rPr>
                <w:rFonts w:ascii="Wingdings" w:cs="Wingdings" w:eastAsia="Wingdings" w:hAnsi="Wingdings"/>
                <w:sz w:val="14"/>
                <w:szCs w:val="14"/>
                <w:b w:val="1"/>
                <w:bCs w:val="1"/>
                <w:color w:val="auto"/>
                <w:w w:val="80"/>
              </w:rPr>
              <w:t>x</w:t>
            </w:r>
          </w:p>
        </w:tc>
      </w:tr>
      <w:tr>
        <w:trPr>
          <w:trHeight w:val="274"/>
        </w:trPr>
        <w:tc>
          <w:tcPr>
            <w:tcW w:w="224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500" w:type="dxa"/>
            <w:vAlign w:val="bottom"/>
          </w:tcPr>
          <w:p>
            <w:pPr>
              <w:ind w:left="212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rPr>
                <w:sz w:val="20"/>
                <w:szCs w:val="20"/>
                <w:color w:val="auto"/>
              </w:rPr>
            </w:pPr>
            <w:r>
              <w:rPr>
                <w:rFonts w:ascii="Wingdings" w:cs="Wingdings" w:eastAsia="Wingdings" w:hAnsi="Wingdings"/>
                <w:sz w:val="14"/>
                <w:szCs w:val="14"/>
                <w:b w:val="1"/>
                <w:bCs w:val="1"/>
                <w:color w:val="auto"/>
                <w:w w:val="80"/>
              </w:rPr>
              <w:t>x</w:t>
            </w:r>
          </w:p>
        </w:tc>
      </w:tr>
    </w:tbl>
    <w:p>
      <w:pPr>
        <w:spacing w:after="0" w:line="90" w:lineRule="exact"/>
        <w:rPr>
          <w:sz w:val="24"/>
          <w:szCs w:val="24"/>
          <w:color w:val="auto"/>
        </w:rPr>
      </w:pPr>
    </w:p>
    <w:p>
      <w:pPr>
        <w:ind w:right="660"/>
        <w:spacing w:after="0" w:line="253"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180"/>
        <w:spacing w:after="0" w:line="243"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ind w:right="160"/>
        <w:spacing w:after="0" w:line="252" w:lineRule="auto"/>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120"/>
        <w:spacing w:after="0" w:line="266" w:lineRule="auto"/>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528955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10" w:lineRule="exact"/>
        <w:rPr>
          <w:sz w:val="20"/>
          <w:szCs w:val="20"/>
          <w:color w:val="auto"/>
        </w:rPr>
      </w:pPr>
    </w:p>
    <w:p>
      <w:pPr>
        <w:jc w:val="both"/>
        <w:ind w:right="640"/>
        <w:spacing w:after="0" w:line="284" w:lineRule="auto"/>
        <w:rPr>
          <w:sz w:val="20"/>
          <w:szCs w:val="20"/>
          <w:color w:val="auto"/>
        </w:rPr>
      </w:pPr>
      <w:r>
        <w:rPr>
          <w:rFonts w:ascii="Arial" w:cs="Arial" w:eastAsia="Arial" w:hAnsi="Arial"/>
          <w:sz w:val="13"/>
          <w:szCs w:val="13"/>
          <w:color w:val="auto"/>
        </w:rPr>
        <w:t>As of June 30, 2025, the last business day of the registrant’s most recently completed second quarter, the aggregate market value of the registrant’s common stock held by nonaffiliates of the registrant, based on the closing price of the shares of common stock on the Nasdaq Global Market on June 30, 2025, was approximately $342,014,009.</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20, 2026 was 44,998,073.</w:t>
      </w:r>
    </w:p>
    <w:p>
      <w:pPr>
        <w:spacing w:after="0" w:line="200" w:lineRule="exact"/>
        <w:rPr>
          <w:sz w:val="20"/>
          <w:szCs w:val="20"/>
          <w:color w:val="auto"/>
        </w:rPr>
      </w:pPr>
    </w:p>
    <w:p>
      <w:pPr>
        <w:spacing w:after="0" w:line="239"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registrant intends to file a definitive proxy statement pursuant to Regulation 14A relating to the 2026 Annual Meeting of Stockholders within 120 days of the end of the registrant’s fiscal year ended December 31, 2025. Portions of such definitive proxy statement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656590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47625</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1217295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4"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This Annual Report on Form 10-K (the “Annual Report”) contains forward-looking statements about us and our industry that involve substantial risks and uncertainties, and which are made pursuant to the safe harbor provisions of Section 27A of the Securities Act of 1933, as amended (the “Securities Act”) and Section 21E of the Securities Exchange Act of 1934, as amended (the “Exchange Act”). All statements other than statements of historical facts contained in this Annual Report, including statements regarding our future results of operations and financial position, business strategy, product candidates, preclinical studies and clinical trials, results of preclinical studies and clinical trials, research and development costs, regulatory approvals, commercial strategy, timing and likelihood of success, as well as plans and objectives of management for future operations, are forward-looking statements. Although we believe that the expectations reflected in these forward-looking statements are reasonable,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2"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159" w:lineRule="exact"/>
        <w:rPr>
          <w:sz w:val="20"/>
          <w:szCs w:val="20"/>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research and development programs, preclinical studies and clinical trials;</w:t>
      </w:r>
    </w:p>
    <w:p>
      <w:pPr>
        <w:spacing w:after="0" w:line="222" w:lineRule="exact"/>
        <w:rPr>
          <w:rFonts w:ascii="Arial" w:cs="Arial" w:eastAsia="Arial" w:hAnsi="Arial"/>
          <w:sz w:val="17"/>
          <w:szCs w:val="17"/>
          <w:color w:val="auto"/>
        </w:rPr>
      </w:pPr>
    </w:p>
    <w:p>
      <w:pPr>
        <w:ind w:left="640" w:right="220" w:hanging="322"/>
        <w:spacing w:after="0" w:line="29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clinical trials to demonstrate safety and efficacy of our product candidates, and other positive results, and the ability of our earlier clinical trials and preclinical studies to predict later clinical trial results;</w:t>
      </w:r>
    </w:p>
    <w:p>
      <w:pPr>
        <w:spacing w:after="0" w:line="141"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and likelihood of regulatory filings and approvals of our product candidates;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business, programs, and current and future product candidates;</w:t>
      </w:r>
    </w:p>
    <w:p>
      <w:pPr>
        <w:spacing w:after="0" w:line="222" w:lineRule="exact"/>
        <w:rPr>
          <w:rFonts w:ascii="Arial" w:cs="Arial" w:eastAsia="Arial" w:hAnsi="Arial"/>
          <w:sz w:val="17"/>
          <w:szCs w:val="17"/>
          <w:color w:val="auto"/>
        </w:rPr>
      </w:pPr>
    </w:p>
    <w:p>
      <w:pPr>
        <w:ind w:left="640" w:right="60" w:hanging="322"/>
        <w:spacing w:after="0" w:line="29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additional cash and the sufficiency of our existing cash, cash equivalents and investments in marketable securities to fund our future operating expenses and capital expenditure requirements;</w:t>
      </w:r>
    </w:p>
    <w:p>
      <w:pPr>
        <w:spacing w:after="0" w:line="141"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222" w:lineRule="exact"/>
        <w:rPr>
          <w:rFonts w:ascii="Arial" w:cs="Arial" w:eastAsia="Arial" w:hAnsi="Arial"/>
          <w:sz w:val="17"/>
          <w:szCs w:val="17"/>
          <w:color w:val="auto"/>
        </w:rPr>
      </w:pPr>
    </w:p>
    <w:p>
      <w:pPr>
        <w:ind w:left="640" w:right="600" w:hanging="322"/>
        <w:spacing w:after="0" w:line="29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potential and ability to successfully manufacture and supply our current and future product candidates for clinical trials and for commercial use, if approved;</w:t>
      </w:r>
    </w:p>
    <w:p>
      <w:pPr>
        <w:spacing w:after="0" w:line="141"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222" w:lineRule="exact"/>
        <w:rPr>
          <w:rFonts w:ascii="Arial" w:cs="Arial" w:eastAsia="Arial" w:hAnsi="Arial"/>
          <w:sz w:val="17"/>
          <w:szCs w:val="17"/>
          <w:color w:val="auto"/>
        </w:rPr>
      </w:pPr>
    </w:p>
    <w:p>
      <w:pPr>
        <w:ind w:left="640" w:right="340" w:hanging="322"/>
        <w:spacing w:after="0" w:line="29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existing regulations and regulatory developments in the U.S. and other jurisdictions, including changes in U.S. federal policy, such as trade policies or tariffs;</w:t>
      </w:r>
    </w:p>
    <w:p>
      <w:pPr>
        <w:spacing w:after="0" w:line="141" w:lineRule="exact"/>
        <w:rPr>
          <w:rFonts w:ascii="Arial" w:cs="Arial" w:eastAsia="Arial" w:hAnsi="Arial"/>
          <w:sz w:val="17"/>
          <w:szCs w:val="17"/>
          <w:color w:val="auto"/>
        </w:rPr>
      </w:pPr>
    </w:p>
    <w:p>
      <w:pPr>
        <w:ind w:left="640" w:right="220" w:hanging="322"/>
        <w:spacing w:after="0" w:line="29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regarding future events under collaboration and licensing agreements, including potential future payments, as well as our plans and strategies for entering into further collaboration and licensing agreements;</w:t>
      </w:r>
    </w:p>
    <w:p>
      <w:pPr>
        <w:spacing w:after="0" w:line="141"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elevated interest rates and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702945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right="800" w:hanging="322"/>
        <w:spacing w:after="0" w:line="298" w:lineRule="auto"/>
        <w:tabs>
          <w:tab w:leader="none" w:pos="63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and retain the continued service of our key personnel and to identify, hire and then retain additional qualified personnel;</w:t>
      </w:r>
    </w:p>
    <w:p>
      <w:pPr>
        <w:spacing w:after="0" w:line="141" w:lineRule="exact"/>
        <w:rPr>
          <w:rFonts w:ascii="Arial" w:cs="Arial" w:eastAsia="Arial" w:hAnsi="Arial"/>
          <w:sz w:val="17"/>
          <w:szCs w:val="17"/>
          <w:color w:val="auto"/>
        </w:rPr>
      </w:pPr>
    </w:p>
    <w:p>
      <w:pPr>
        <w:ind w:left="640" w:right="340" w:hanging="322"/>
        <w:spacing w:after="0" w:line="298" w:lineRule="auto"/>
        <w:tabs>
          <w:tab w:leader="none" w:pos="63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will qualify as an emerging growth company under the Jumpstart Our Business Startups Act of 2012, as amended (the "JOBS Act"); and</w:t>
      </w:r>
    </w:p>
    <w:p>
      <w:pPr>
        <w:spacing w:after="0" w:line="141"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anticipated use of our existing cash, cash equivalents and investments in marketable securities.</w:t>
      </w:r>
    </w:p>
    <w:p>
      <w:pPr>
        <w:spacing w:after="0" w:line="22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entitled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75" w:lineRule="exact"/>
        <w:rPr>
          <w:sz w:val="20"/>
          <w:szCs w:val="20"/>
          <w:color w:val="auto"/>
        </w:rPr>
      </w:pPr>
    </w:p>
    <w:p>
      <w:pPr>
        <w:ind w:right="40" w:firstLine="627"/>
        <w:spacing w:after="0" w:line="266"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0" w:lineRule="exact"/>
        <w:rPr>
          <w:sz w:val="20"/>
          <w:szCs w:val="20"/>
          <w:color w:val="auto"/>
        </w:rPr>
      </w:pPr>
    </w:p>
    <w:p>
      <w:pPr>
        <w:ind w:right="140" w:firstLine="627"/>
        <w:spacing w:after="0" w:line="277" w:lineRule="auto"/>
        <w:rPr>
          <w:sz w:val="20"/>
          <w:szCs w:val="20"/>
          <w:color w:val="auto"/>
        </w:rPr>
      </w:pPr>
      <w:r>
        <w:rPr>
          <w:rFonts w:ascii="Arial" w:cs="Arial" w:eastAsia="Arial" w:hAnsi="Arial"/>
          <w:sz w:val="17"/>
          <w:szCs w:val="17"/>
          <w:color w:val="auto"/>
        </w:rPr>
        <w:t>You should read this Annual Report and the documents that we reference herein or incorporated by reference as exhibits hereto with the understanding that our actual future results, levels of activity, performance and events and circumstances may be materially different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1093470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NOTE REGARDING TRADEMARKS</w:t>
      </w:r>
    </w:p>
    <w:p>
      <w:pPr>
        <w:spacing w:after="0" w:line="224"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Sionna Therapeutics, Inc. is the owner of the trademarks SIONNA and SIONNA THERAPEUTICS, as well as certain other trademarks, including design versions of some of these trademarks. The symbols ™ and ® are not used in connection with the presentation of these trademarks in this Annual Report and their absence does not indicate a lack of trademark rights. Certain other trademarks used in this Annual Report are the property of third-party trademark owners and may be presented with or without trademark references.</w:t>
      </w:r>
    </w:p>
    <w:p>
      <w:pPr>
        <w:spacing w:after="0" w:line="165" w:lineRule="exact"/>
        <w:rPr>
          <w:sz w:val="20"/>
          <w:szCs w:val="20"/>
          <w:color w:val="auto"/>
        </w:rPr>
      </w:pPr>
    </w:p>
    <w:p>
      <w:pPr>
        <w:ind w:firstLine="627"/>
        <w:spacing w:after="0" w:line="298" w:lineRule="auto"/>
        <w:rPr>
          <w:sz w:val="20"/>
          <w:szCs w:val="20"/>
          <w:color w:val="auto"/>
        </w:rPr>
      </w:pPr>
      <w:r>
        <w:rPr>
          <w:rFonts w:ascii="Arial" w:cs="Arial" w:eastAsia="Arial" w:hAnsi="Arial"/>
          <w:sz w:val="17"/>
          <w:szCs w:val="17"/>
          <w:color w:val="auto"/>
        </w:rPr>
        <w:t>All brand names or trademarks appearing in this Annual Report are the property of their respective owners. Unless the context requires otherwise, references in this report to “Sionna,” the “Company,” “we,” “us” and “our” refer to Sionna Therapeutics, Inc. and its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651510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OF MATERIAL RISKS ASSOCIATED WITH OUR BUSINESS</w:t>
      </w:r>
    </w:p>
    <w:p>
      <w:pPr>
        <w:spacing w:after="0" w:line="224" w:lineRule="exact"/>
        <w:rPr>
          <w:sz w:val="20"/>
          <w:szCs w:val="20"/>
          <w:color w:val="auto"/>
        </w:rPr>
      </w:pPr>
    </w:p>
    <w:p>
      <w:pPr>
        <w:ind w:right="200" w:firstLine="627"/>
        <w:spacing w:after="0" w:line="270" w:lineRule="auto"/>
        <w:rPr>
          <w:sz w:val="20"/>
          <w:szCs w:val="20"/>
          <w:color w:val="auto"/>
        </w:rPr>
      </w:pPr>
      <w:r>
        <w:rPr>
          <w:rFonts w:ascii="Arial" w:cs="Arial" w:eastAsia="Arial" w:hAnsi="Arial"/>
          <w:sz w:val="17"/>
          <w:szCs w:val="17"/>
          <w:color w:val="auto"/>
        </w:rPr>
        <w:t>We are subject to numerous risks and uncertainties, including those further described below in the section entitled “Risk Factors” in this Annual Report, as well as in other documents that we file with the U.S. Securities and Exchange Commission (“SEC”). The following considerations, among others, may offset our competitive strengths or have a negative effect on our business strategy, which could materially adversely affect our business, financial conditions, results of operations and future growth prospects:</w:t>
      </w:r>
    </w:p>
    <w:p>
      <w:pPr>
        <w:spacing w:after="0" w:line="165" w:lineRule="exact"/>
        <w:rPr>
          <w:sz w:val="20"/>
          <w:szCs w:val="20"/>
          <w:color w:val="auto"/>
        </w:rPr>
      </w:pPr>
    </w:p>
    <w:p>
      <w:pPr>
        <w:ind w:left="640" w:right="100" w:hanging="322"/>
        <w:spacing w:after="0" w:line="298"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 clinical-stage biopharmaceutical company and have incurred significant operating losses since inception and anticipate that we will continue to incur significant operating losses for the foreseeable future.</w:t>
      </w:r>
    </w:p>
    <w:p>
      <w:pPr>
        <w:spacing w:after="0" w:line="141" w:lineRule="exact"/>
        <w:rPr>
          <w:rFonts w:ascii="Arial" w:cs="Arial" w:eastAsia="Arial" w:hAnsi="Arial"/>
          <w:sz w:val="17"/>
          <w:szCs w:val="17"/>
          <w:color w:val="auto"/>
        </w:rPr>
      </w:pPr>
    </w:p>
    <w:p>
      <w:pPr>
        <w:ind w:left="640" w:right="160" w:hanging="322"/>
        <w:spacing w:after="0" w:line="298"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We may be unable to raise capital on acceptable terms, if at all, and, as a result, we may be required to delay, reduce or eliminate our product development programs or future commercialization efforts.</w:t>
      </w:r>
    </w:p>
    <w:p>
      <w:pPr>
        <w:spacing w:after="0" w:line="141" w:lineRule="exact"/>
        <w:rPr>
          <w:rFonts w:ascii="Arial" w:cs="Arial" w:eastAsia="Arial" w:hAnsi="Arial"/>
          <w:sz w:val="17"/>
          <w:szCs w:val="17"/>
          <w:color w:val="auto"/>
        </w:rPr>
      </w:pPr>
    </w:p>
    <w:p>
      <w:pPr>
        <w:ind w:left="640" w:hanging="322"/>
        <w:spacing w:after="0" w:line="277"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substantially dependent on the success of at least one of our nucleotide binding domain 1 ("NBD1") stabilizers. If we are unable to advance an NBD1 stabilizer product candidate into later-stage clinical development or unable to obtain regulatory approval and commercialize a product candidate, or experience significant delays in doing so, our business will be materially harmed.</w:t>
      </w:r>
    </w:p>
    <w:p>
      <w:pPr>
        <w:spacing w:after="0" w:line="158" w:lineRule="exact"/>
        <w:rPr>
          <w:rFonts w:ascii="Arial" w:cs="Arial" w:eastAsia="Arial" w:hAnsi="Arial"/>
          <w:sz w:val="17"/>
          <w:szCs w:val="17"/>
          <w:color w:val="auto"/>
        </w:rPr>
      </w:pPr>
    </w:p>
    <w:p>
      <w:pPr>
        <w:ind w:left="640" w:right="980" w:hanging="322"/>
        <w:spacing w:after="0" w:line="298"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Targeting the NBD1 domain of the cystic fibrosis transmembrane conductance regulator protein is novel, and the time, cost of development and likelihood of successful product development is difficult to predict.</w:t>
      </w:r>
    </w:p>
    <w:p>
      <w:pPr>
        <w:spacing w:after="0" w:line="141" w:lineRule="exact"/>
        <w:rPr>
          <w:rFonts w:ascii="Arial" w:cs="Arial" w:eastAsia="Arial" w:hAnsi="Arial"/>
          <w:sz w:val="17"/>
          <w:szCs w:val="17"/>
          <w:color w:val="auto"/>
        </w:rPr>
      </w:pPr>
    </w:p>
    <w:p>
      <w:pPr>
        <w:ind w:left="640" w:right="20" w:hanging="322"/>
        <w:spacing w:after="0" w:line="270"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intend to develop a proprietary dual combination of an NBD1 stabilizer with a complementary modulator, and/or an NBD1 stabilizer as an add-on to the standard of care. Developing combination treatments increases complexity and risk, including risks of drug-drug interactions, unforeseen side effects or failures in our clinical trials that could delay or prevent their regulatory approval or limit the commercial profile of an approved label.</w:t>
      </w:r>
    </w:p>
    <w:p>
      <w:pPr>
        <w:spacing w:after="0" w:line="164" w:lineRule="exact"/>
        <w:rPr>
          <w:rFonts w:ascii="Arial" w:cs="Arial" w:eastAsia="Arial" w:hAnsi="Arial"/>
          <w:sz w:val="17"/>
          <w:szCs w:val="17"/>
          <w:color w:val="auto"/>
        </w:rPr>
      </w:pPr>
    </w:p>
    <w:p>
      <w:pPr>
        <w:ind w:left="640" w:right="900" w:hanging="322"/>
        <w:spacing w:after="0" w:line="298"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incur additional costs and experience delays in completing, or ultimately be unable to complete, the development and commercialization of our product candidates.</w:t>
      </w:r>
    </w:p>
    <w:p>
      <w:pPr>
        <w:spacing w:after="0" w:line="141" w:lineRule="exact"/>
        <w:rPr>
          <w:rFonts w:ascii="Arial" w:cs="Arial" w:eastAsia="Arial" w:hAnsi="Arial"/>
          <w:sz w:val="17"/>
          <w:szCs w:val="17"/>
          <w:color w:val="auto"/>
        </w:rPr>
      </w:pPr>
    </w:p>
    <w:p>
      <w:pPr>
        <w:ind w:left="640" w:right="100" w:hanging="322"/>
        <w:spacing w:after="0" w:line="270"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Positive results from our preclinical studies or prior clinical trials are not necessarily predictive of the results of later clinical trials of our current or future product candidates. If we cannot replicate the positive results from our earlier preclinical studies or clinical trials of our current or potential future product candidates, or if we suffer any other significant setbacks in our later clinical trials, we may be unable to successfully develop, obtain regulatory approval for and commercialize our current or potential future product candidates.</w:t>
      </w:r>
    </w:p>
    <w:p>
      <w:pPr>
        <w:spacing w:after="0" w:line="164" w:lineRule="exact"/>
        <w:rPr>
          <w:rFonts w:ascii="Arial" w:cs="Arial" w:eastAsia="Arial" w:hAnsi="Arial"/>
          <w:sz w:val="17"/>
          <w:szCs w:val="17"/>
          <w:color w:val="auto"/>
        </w:rPr>
      </w:pPr>
    </w:p>
    <w:p>
      <w:pPr>
        <w:ind w:left="640" w:right="40" w:hanging="322"/>
        <w:spacing w:after="0" w:line="270"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preclinical studies and clinical trials may fail to demonstrate the safety and efficacy of our product candidates, or serious or unacceptable adverse side effects or unexpected toxicology findings may be identified during the development of our product candidates, which could prevent or delay further clinical development, regulatory approvals and commercialization, impact the product’s labeling, if approved, increase our costs or necessitate the abandonment or limitation of the development of some of our product candidates.</w:t>
      </w:r>
    </w:p>
    <w:p>
      <w:pPr>
        <w:spacing w:after="0" w:line="164" w:lineRule="exact"/>
        <w:rPr>
          <w:rFonts w:ascii="Arial" w:cs="Arial" w:eastAsia="Arial" w:hAnsi="Arial"/>
          <w:sz w:val="17"/>
          <w:szCs w:val="17"/>
          <w:color w:val="auto"/>
        </w:rPr>
      </w:pPr>
    </w:p>
    <w:p>
      <w:pPr>
        <w:ind w:left="640" w:right="200" w:hanging="322"/>
        <w:spacing w:after="0" w:line="270"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and in the future expect to rely, on third parties to conduct our ongoing and planned clinical trials for our current and future product candidates. If these third parties do not successfully carry out their contractual duties, comply with regulatory requirements or meet expected deadlines, or if we experience delays or difficulties in the initiation of, or enrollment of patients in, clinical trials, obtaining necessary regulatory approvals could be delayed or prevented.</w:t>
      </w:r>
    </w:p>
    <w:p>
      <w:pPr>
        <w:spacing w:after="0" w:line="164" w:lineRule="exact"/>
        <w:rPr>
          <w:rFonts w:ascii="Arial" w:cs="Arial" w:eastAsia="Arial" w:hAnsi="Arial"/>
          <w:sz w:val="17"/>
          <w:szCs w:val="17"/>
          <w:color w:val="auto"/>
        </w:rPr>
      </w:pPr>
    </w:p>
    <w:p>
      <w:pPr>
        <w:ind w:left="640" w:right="500" w:hanging="322"/>
        <w:spacing w:after="0" w:line="277"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regulatory approval processes of the U.S. Food and Drug Administration and comparable foreign authorities are lengthy, time-consuming and inherently unpredictable. If we are not able to obtain the required regulatory approval for any product candidate, our business will be substantially harmed.</w:t>
      </w:r>
    </w:p>
    <w:p>
      <w:pPr>
        <w:spacing w:after="0" w:line="158" w:lineRule="exact"/>
        <w:rPr>
          <w:rFonts w:ascii="Arial" w:cs="Arial" w:eastAsia="Arial" w:hAnsi="Arial"/>
          <w:sz w:val="17"/>
          <w:szCs w:val="17"/>
          <w:color w:val="auto"/>
        </w:rPr>
      </w:pPr>
    </w:p>
    <w:p>
      <w:pPr>
        <w:jc w:val="both"/>
        <w:ind w:left="640" w:right="160" w:hanging="322"/>
        <w:spacing w:after="0" w:line="277"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662305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hanging="322"/>
        <w:spacing w:after="0" w:line="270"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from third parties or, in certain cases, we fail to meet certain development deadlines, we could lose license rights that are important to our business.</w:t>
      </w:r>
    </w:p>
    <w:p>
      <w:pPr>
        <w:spacing w:after="0" w:line="164" w:lineRule="exact"/>
        <w:rPr>
          <w:rFonts w:ascii="Arial" w:cs="Arial" w:eastAsia="Arial" w:hAnsi="Arial"/>
          <w:sz w:val="17"/>
          <w:szCs w:val="17"/>
          <w:color w:val="auto"/>
        </w:rPr>
      </w:pPr>
    </w:p>
    <w:p>
      <w:pPr>
        <w:ind w:left="640" w:right="80" w:hanging="322"/>
        <w:spacing w:after="0" w:line="270"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contract with third parties for the manufacture of our product candidates for clinical drug supply and expect to continue to do so for commercialization, if our product candidates are approved. This reliance on third parties increases the risk that we will not have sufficient quantities of our product candidates or obtain such quantities at an acceptable cost or quality, which could delay, prevent or impair our development or commercialization efforts.</w:t>
      </w:r>
    </w:p>
    <w:p>
      <w:pPr>
        <w:spacing w:after="0" w:line="164" w:lineRule="exact"/>
        <w:rPr>
          <w:rFonts w:ascii="Arial" w:cs="Arial" w:eastAsia="Arial" w:hAnsi="Arial"/>
          <w:sz w:val="17"/>
          <w:szCs w:val="17"/>
          <w:color w:val="auto"/>
        </w:rPr>
      </w:pPr>
    </w:p>
    <w:p>
      <w:pPr>
        <w:ind w:left="640" w:right="80" w:hanging="322"/>
        <w:spacing w:after="0" w:line="270"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or our licensors are unable to obtain, maintain and enforce intellectual property rights relating to any of our product candidates, or if the scope of the protection obtained is not sufficiently broad, our competitors or other third parties could develop and commercialize products similar or identical to ours, our ability to successfully commercialize our product candidates may be adversely affected and we may not be able to compete effectively in our markets.</w:t>
      </w:r>
    </w:p>
    <w:p>
      <w:pPr>
        <w:spacing w:after="0" w:line="164" w:lineRule="exact"/>
        <w:rPr>
          <w:rFonts w:ascii="Arial" w:cs="Arial" w:eastAsia="Arial" w:hAnsi="Arial"/>
          <w:sz w:val="17"/>
          <w:szCs w:val="17"/>
          <w:color w:val="auto"/>
        </w:rPr>
      </w:pPr>
    </w:p>
    <w:p>
      <w:pPr>
        <w:ind w:left="640" w:right="440" w:hanging="322"/>
        <w:spacing w:after="0" w:line="277"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face substantial competition. Our main competitor in the CF market holds substantial market share and has substantially greater resources than we do. We may not be able to compete successfully in this environment and, in particular, against a much larger competitor.</w:t>
      </w:r>
    </w:p>
    <w:p>
      <w:pPr>
        <w:spacing w:after="0" w:line="158" w:lineRule="exact"/>
        <w:rPr>
          <w:rFonts w:ascii="Arial" w:cs="Arial" w:eastAsia="Arial" w:hAnsi="Arial"/>
          <w:sz w:val="17"/>
          <w:szCs w:val="17"/>
          <w:color w:val="auto"/>
        </w:rPr>
      </w:pPr>
    </w:p>
    <w:p>
      <w:pPr>
        <w:ind w:left="620" w:hanging="30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trading price of the shares of our common stock may be volatile, and investors could lose all or part of their investment.</w:t>
      </w:r>
    </w:p>
    <w:p>
      <w:pPr>
        <w:spacing w:after="0" w:line="222" w:lineRule="exact"/>
        <w:rPr>
          <w:sz w:val="20"/>
          <w:szCs w:val="20"/>
          <w:color w:val="auto"/>
        </w:rPr>
      </w:pPr>
    </w:p>
    <w:p>
      <w:pPr>
        <w:ind w:right="60" w:firstLine="627"/>
        <w:spacing w:after="0" w:line="266"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in the section titled “Risk Factors” and the other information set forth in this Annual Report, including our audited consolidated financial statements and the related notes, as well as in other documents that we file with the SEC. The risks summarized above or described in full elsewhere in this Annual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818515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60" w:type="dxa"/>
            <w:vAlign w:val="bottom"/>
            <w:gridSpan w:val="17"/>
          </w:tcPr>
          <w:p>
            <w:pPr>
              <w:jc w:val="center"/>
              <w:ind w:right="3760"/>
              <w:spacing w:after="0"/>
              <w:rPr>
                <w:sz w:val="20"/>
                <w:szCs w:val="20"/>
                <w:color w:val="auto"/>
              </w:rPr>
            </w:pPr>
            <w:r>
              <w:rPr>
                <w:rFonts w:ascii="Arial" w:cs="Arial" w:eastAsia="Arial" w:hAnsi="Arial"/>
                <w:sz w:val="17"/>
                <w:szCs w:val="17"/>
                <w:b w:val="1"/>
                <w:bCs w:val="1"/>
                <w:color w:val="auto"/>
              </w:rPr>
              <w:t>TABLE OF CONTENTS</w:t>
            </w:r>
          </w:p>
        </w:tc>
        <w:tc>
          <w:tcPr>
            <w:tcW w:w="900" w:type="dxa"/>
            <w:vAlign w:val="bottom"/>
          </w:tcPr>
          <w:p>
            <w:pPr>
              <w:spacing w:after="0"/>
              <w:rPr>
                <w:sz w:val="20"/>
                <w:szCs w:val="20"/>
                <w:color w:val="auto"/>
              </w:rPr>
            </w:pPr>
          </w:p>
        </w:tc>
      </w:tr>
      <w:tr>
        <w:trPr>
          <w:trHeight w:val="53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Page No.</w:t>
            </w: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12"/>
          </w:tcPr>
          <w:p>
            <w:pPr>
              <w:jc w:val="center"/>
              <w:ind w:right="4440"/>
              <w:spacing w:after="0" w:line="183" w:lineRule="exact"/>
              <w:rPr>
                <w:sz w:val="20"/>
                <w:szCs w:val="20"/>
                <w:color w:val="auto"/>
              </w:rPr>
            </w:pPr>
            <w:r>
              <w:rPr>
                <w:rFonts w:ascii="Arial" w:cs="Arial" w:eastAsia="Arial" w:hAnsi="Arial"/>
                <w:sz w:val="17"/>
                <w:szCs w:val="17"/>
                <w:b w:val="1"/>
                <w:bCs w:val="1"/>
                <w:color w:val="0000FF"/>
              </w:rPr>
              <w:t>PART I</w:t>
            </w:r>
          </w:p>
        </w:tc>
        <w:tc>
          <w:tcPr>
            <w:tcW w:w="900" w:type="dxa"/>
            <w:vAlign w:val="bottom"/>
          </w:tcPr>
          <w:p>
            <w:pPr>
              <w:spacing w:after="0"/>
              <w:rPr>
                <w:sz w:val="15"/>
                <w:szCs w:val="15"/>
                <w:color w:val="auto"/>
              </w:rPr>
            </w:pPr>
          </w:p>
        </w:tc>
      </w:tr>
      <w:tr>
        <w:trPr>
          <w:trHeight w:val="502"/>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9"/>
              </w:rPr>
              <w:t>Item 1.</w:t>
            </w:r>
          </w:p>
        </w:tc>
        <w:tc>
          <w:tcPr>
            <w:tcW w:w="720" w:type="dxa"/>
            <w:vAlign w:val="bottom"/>
            <w:gridSpan w:val="6"/>
          </w:tcPr>
          <w:p>
            <w:pPr>
              <w:spacing w:after="0"/>
              <w:rPr>
                <w:sz w:val="24"/>
                <w:szCs w:val="24"/>
                <w:color w:val="auto"/>
              </w:rPr>
            </w:pPr>
          </w:p>
        </w:tc>
        <w:tc>
          <w:tcPr>
            <w:tcW w:w="7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rPr>
              <w:t>Business</w:t>
            </w:r>
          </w:p>
        </w:tc>
        <w:tc>
          <w:tcPr>
            <w:tcW w:w="3340" w:type="dxa"/>
            <w:vAlign w:val="bottom"/>
            <w:gridSpan w:val="18"/>
          </w:tcPr>
          <w:p>
            <w:pPr>
              <w:spacing w:after="0"/>
              <w:rPr>
                <w:sz w:val="24"/>
                <w:szCs w:val="24"/>
                <w:color w:val="auto"/>
              </w:rPr>
            </w:pPr>
          </w:p>
        </w:tc>
        <w:tc>
          <w:tcPr>
            <w:tcW w:w="560" w:type="dxa"/>
            <w:vAlign w:val="bottom"/>
            <w:tcBorders>
              <w:top w:val="single" w:sz="8" w:color="0000FF"/>
            </w:tcBorders>
            <w:gridSpan w:val="3"/>
          </w:tcPr>
          <w:p>
            <w:pPr>
              <w:spacing w:after="0"/>
              <w:rPr>
                <w:sz w:val="24"/>
                <w:szCs w:val="24"/>
                <w:color w:val="auto"/>
              </w:rPr>
            </w:pPr>
          </w:p>
        </w:tc>
        <w:tc>
          <w:tcPr>
            <w:tcW w:w="444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41"/>
        </w:trPr>
        <w:tc>
          <w:tcPr>
            <w:tcW w:w="20" w:type="dxa"/>
            <w:vAlign w:val="bottom"/>
          </w:tcPr>
          <w:p>
            <w:pPr>
              <w:spacing w:after="0"/>
              <w:rPr>
                <w:sz w:val="20"/>
                <w:szCs w:val="20"/>
                <w:color w:val="auto"/>
              </w:rPr>
            </w:pPr>
          </w:p>
        </w:tc>
        <w:tc>
          <w:tcPr>
            <w:tcW w:w="6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Item 1A.</w:t>
            </w:r>
          </w:p>
        </w:tc>
        <w:tc>
          <w:tcPr>
            <w:tcW w:w="580" w:type="dxa"/>
            <w:vAlign w:val="bottom"/>
            <w:gridSpan w:val="2"/>
          </w:tcPr>
          <w:p>
            <w:pPr>
              <w:spacing w:after="0"/>
              <w:rPr>
                <w:sz w:val="20"/>
                <w:szCs w:val="20"/>
                <w:color w:val="auto"/>
              </w:rPr>
            </w:pPr>
          </w:p>
        </w:tc>
        <w:tc>
          <w:tcPr>
            <w:tcW w:w="9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Risk Factors</w:t>
            </w:r>
          </w:p>
        </w:tc>
        <w:tc>
          <w:tcPr>
            <w:tcW w:w="8080" w:type="dxa"/>
            <w:vAlign w:val="bottom"/>
            <w:gridSpan w:val="26"/>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41"/>
        </w:trPr>
        <w:tc>
          <w:tcPr>
            <w:tcW w:w="20" w:type="dxa"/>
            <w:vAlign w:val="bottom"/>
          </w:tcPr>
          <w:p>
            <w:pPr>
              <w:spacing w:after="0"/>
              <w:rPr>
                <w:sz w:val="20"/>
                <w:szCs w:val="20"/>
                <w:color w:val="auto"/>
              </w:rPr>
            </w:pPr>
          </w:p>
        </w:tc>
        <w:tc>
          <w:tcPr>
            <w:tcW w:w="680" w:type="dxa"/>
            <w:vAlign w:val="bottom"/>
            <w:gridSpan w:val="5"/>
          </w:tcPr>
          <w:p>
            <w:pPr>
              <w:spacing w:after="0"/>
              <w:rPr>
                <w:sz w:val="20"/>
                <w:szCs w:val="20"/>
                <w:color w:val="auto"/>
              </w:rPr>
            </w:pPr>
            <w:r>
              <w:rPr>
                <w:rFonts w:ascii="Arial" w:cs="Arial" w:eastAsia="Arial" w:hAnsi="Arial"/>
                <w:sz w:val="17"/>
                <w:szCs w:val="17"/>
                <w:color w:val="0000FF"/>
              </w:rPr>
              <w:t>Item 1B.</w:t>
            </w:r>
          </w:p>
        </w:tc>
        <w:tc>
          <w:tcPr>
            <w:tcW w:w="580" w:type="dxa"/>
            <w:vAlign w:val="bottom"/>
            <w:gridSpan w:val="2"/>
          </w:tcPr>
          <w:p>
            <w:pPr>
              <w:spacing w:after="0"/>
              <w:rPr>
                <w:sz w:val="20"/>
                <w:szCs w:val="20"/>
                <w:color w:val="auto"/>
              </w:rPr>
            </w:pPr>
          </w:p>
        </w:tc>
        <w:tc>
          <w:tcPr>
            <w:tcW w:w="9060" w:type="dxa"/>
            <w:vAlign w:val="bottom"/>
            <w:gridSpan w:val="31"/>
          </w:tcPr>
          <w:p>
            <w:pPr>
              <w:spacing w:after="0"/>
              <w:rPr>
                <w:sz w:val="20"/>
                <w:szCs w:val="20"/>
                <w:color w:val="auto"/>
              </w:rPr>
            </w:pPr>
            <w:r>
              <w:rPr>
                <w:rFonts w:ascii="Arial" w:cs="Arial" w:eastAsia="Arial" w:hAnsi="Arial"/>
                <w:sz w:val="17"/>
                <w:szCs w:val="17"/>
                <w:color w:val="0000FF"/>
              </w:rPr>
              <w:t>Unresolved Staff Comments</w:t>
            </w:r>
          </w:p>
        </w:tc>
        <w:tc>
          <w:tcPr>
            <w:tcW w:w="90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41"/>
        </w:trPr>
        <w:tc>
          <w:tcPr>
            <w:tcW w:w="20" w:type="dxa"/>
            <w:vAlign w:val="bottom"/>
          </w:tcPr>
          <w:p>
            <w:pPr>
              <w:spacing w:after="0"/>
              <w:rPr>
                <w:sz w:val="20"/>
                <w:szCs w:val="20"/>
                <w:color w:val="auto"/>
              </w:rPr>
            </w:pPr>
          </w:p>
        </w:tc>
        <w:tc>
          <w:tcPr>
            <w:tcW w:w="6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rPr>
              <w:t>Item 1C.</w:t>
            </w:r>
          </w:p>
        </w:tc>
        <w:tc>
          <w:tcPr>
            <w:tcW w:w="20" w:type="dxa"/>
            <w:vAlign w:val="bottom"/>
            <w:tcBorders>
              <w:bottom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7"/>
                <w:szCs w:val="17"/>
                <w:color w:val="0000FF"/>
              </w:rPr>
              <w:t>Cybersecurity</w:t>
            </w:r>
          </w:p>
        </w:tc>
        <w:tc>
          <w:tcPr>
            <w:tcW w:w="1100" w:type="dxa"/>
            <w:vAlign w:val="bottom"/>
            <w:tcBorders>
              <w:top w:val="single" w:sz="8" w:color="0000FF"/>
            </w:tcBorders>
            <w:gridSpan w:val="6"/>
          </w:tcPr>
          <w:p>
            <w:pPr>
              <w:spacing w:after="0"/>
              <w:rPr>
                <w:sz w:val="20"/>
                <w:szCs w:val="20"/>
                <w:color w:val="auto"/>
              </w:rPr>
            </w:pPr>
          </w:p>
        </w:tc>
        <w:tc>
          <w:tcPr>
            <w:tcW w:w="6880" w:type="dxa"/>
            <w:vAlign w:val="bottom"/>
            <w:gridSpan w:val="19"/>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4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7"/>
                <w:szCs w:val="17"/>
                <w:color w:val="0000FF"/>
                <w:w w:val="99"/>
              </w:rPr>
              <w:t>Item 2.</w:t>
            </w:r>
          </w:p>
        </w:tc>
        <w:tc>
          <w:tcPr>
            <w:tcW w:w="720" w:type="dxa"/>
            <w:vAlign w:val="bottom"/>
            <w:gridSpan w:val="6"/>
          </w:tcPr>
          <w:p>
            <w:pPr>
              <w:spacing w:after="0"/>
              <w:rPr>
                <w:sz w:val="20"/>
                <w:szCs w:val="20"/>
                <w:color w:val="auto"/>
              </w:rPr>
            </w:pPr>
          </w:p>
        </w:tc>
        <w:tc>
          <w:tcPr>
            <w:tcW w:w="9060" w:type="dxa"/>
            <w:vAlign w:val="bottom"/>
            <w:gridSpan w:val="31"/>
          </w:tcPr>
          <w:p>
            <w:pPr>
              <w:spacing w:after="0"/>
              <w:rPr>
                <w:sz w:val="20"/>
                <w:szCs w:val="20"/>
                <w:color w:val="auto"/>
              </w:rPr>
            </w:pPr>
            <w:r>
              <w:rPr>
                <w:rFonts w:ascii="Arial" w:cs="Arial" w:eastAsia="Arial" w:hAnsi="Arial"/>
                <w:sz w:val="17"/>
                <w:szCs w:val="17"/>
                <w:color w:val="0000FF"/>
              </w:rPr>
              <w:t>Properties</w:t>
            </w:r>
          </w:p>
        </w:tc>
        <w:tc>
          <w:tcPr>
            <w:tcW w:w="90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7"/>
                <w:szCs w:val="17"/>
                <w:color w:val="0000FF"/>
                <w:w w:val="99"/>
              </w:rPr>
              <w:t>Item 3.</w:t>
            </w:r>
          </w:p>
        </w:tc>
        <w:tc>
          <w:tcPr>
            <w:tcW w:w="720" w:type="dxa"/>
            <w:vAlign w:val="bottom"/>
            <w:gridSpan w:val="6"/>
          </w:tcPr>
          <w:p>
            <w:pPr>
              <w:spacing w:after="0"/>
              <w:rPr>
                <w:sz w:val="20"/>
                <w:szCs w:val="20"/>
                <w:color w:val="auto"/>
              </w:rPr>
            </w:pPr>
          </w:p>
        </w:tc>
        <w:tc>
          <w:tcPr>
            <w:tcW w:w="9060" w:type="dxa"/>
            <w:vAlign w:val="bottom"/>
            <w:gridSpan w:val="31"/>
          </w:tcPr>
          <w:p>
            <w:pPr>
              <w:spacing w:after="0"/>
              <w:rPr>
                <w:sz w:val="20"/>
                <w:szCs w:val="20"/>
                <w:color w:val="auto"/>
              </w:rPr>
            </w:pPr>
            <w:r>
              <w:rPr>
                <w:rFonts w:ascii="Arial" w:cs="Arial" w:eastAsia="Arial" w:hAnsi="Arial"/>
                <w:sz w:val="17"/>
                <w:szCs w:val="17"/>
                <w:color w:val="0000FF"/>
              </w:rPr>
              <w:t>Legal Proceedings</w:t>
            </w:r>
          </w:p>
        </w:tc>
        <w:tc>
          <w:tcPr>
            <w:tcW w:w="90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7"/>
                <w:szCs w:val="17"/>
                <w:color w:val="0000FF"/>
                <w:w w:val="99"/>
              </w:rPr>
              <w:t>Item 4.</w:t>
            </w:r>
          </w:p>
        </w:tc>
        <w:tc>
          <w:tcPr>
            <w:tcW w:w="720" w:type="dxa"/>
            <w:vAlign w:val="bottom"/>
            <w:gridSpan w:val="6"/>
          </w:tcPr>
          <w:p>
            <w:pPr>
              <w:spacing w:after="0"/>
              <w:rPr>
                <w:sz w:val="20"/>
                <w:szCs w:val="20"/>
                <w:color w:val="auto"/>
              </w:rPr>
            </w:pPr>
          </w:p>
        </w:tc>
        <w:tc>
          <w:tcPr>
            <w:tcW w:w="9060" w:type="dxa"/>
            <w:vAlign w:val="bottom"/>
            <w:gridSpan w:val="31"/>
          </w:tcPr>
          <w:p>
            <w:pPr>
              <w:spacing w:after="0"/>
              <w:rPr>
                <w:sz w:val="20"/>
                <w:szCs w:val="20"/>
                <w:color w:val="auto"/>
              </w:rPr>
            </w:pPr>
            <w:r>
              <w:rPr>
                <w:rFonts w:ascii="Arial" w:cs="Arial" w:eastAsia="Arial" w:hAnsi="Arial"/>
                <w:sz w:val="17"/>
                <w:szCs w:val="17"/>
                <w:color w:val="0000FF"/>
              </w:rPr>
              <w:t>Mine Safety Disclosures</w:t>
            </w:r>
          </w:p>
        </w:tc>
        <w:tc>
          <w:tcPr>
            <w:tcW w:w="90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489"/>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3"/>
          </w:tcPr>
          <w:p>
            <w:pPr>
              <w:jc w:val="center"/>
              <w:ind w:right="4420"/>
              <w:spacing w:after="0"/>
              <w:rPr>
                <w:sz w:val="20"/>
                <w:szCs w:val="20"/>
                <w:color w:val="auto"/>
              </w:rPr>
            </w:pPr>
            <w:r>
              <w:rPr>
                <w:rFonts w:ascii="Arial" w:cs="Arial" w:eastAsia="Arial" w:hAnsi="Arial"/>
                <w:sz w:val="17"/>
                <w:szCs w:val="17"/>
                <w:b w:val="1"/>
                <w:bCs w:val="1"/>
                <w:color w:val="0000FF"/>
                <w:w w:val="99"/>
              </w:rPr>
              <w:t>PART II</w:t>
            </w:r>
          </w:p>
        </w:tc>
        <w:tc>
          <w:tcPr>
            <w:tcW w:w="9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7"/>
                <w:szCs w:val="17"/>
                <w:color w:val="0000FF"/>
                <w:w w:val="99"/>
              </w:rPr>
              <w:t>Item 5.</w:t>
            </w:r>
          </w:p>
        </w:tc>
        <w:tc>
          <w:tcPr>
            <w:tcW w:w="720" w:type="dxa"/>
            <w:vAlign w:val="bottom"/>
            <w:gridSpan w:val="6"/>
          </w:tcPr>
          <w:p>
            <w:pPr>
              <w:spacing w:after="0"/>
              <w:rPr>
                <w:sz w:val="24"/>
                <w:szCs w:val="24"/>
                <w:color w:val="auto"/>
              </w:rPr>
            </w:pPr>
          </w:p>
        </w:tc>
        <w:tc>
          <w:tcPr>
            <w:tcW w:w="9060" w:type="dxa"/>
            <w:vAlign w:val="bottom"/>
            <w:gridSpan w:val="31"/>
          </w:tcPr>
          <w:p>
            <w:pPr>
              <w:spacing w:after="0"/>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41"/>
        </w:trPr>
        <w:tc>
          <w:tcPr>
            <w:tcW w:w="20" w:type="dxa"/>
            <w:vAlign w:val="bottom"/>
          </w:tcPr>
          <w:p>
            <w:pPr>
              <w:spacing w:after="0"/>
              <w:rPr>
                <w:sz w:val="20"/>
                <w:szCs w:val="20"/>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9"/>
              </w:rPr>
              <w:t>Item 6.</w:t>
            </w:r>
          </w:p>
        </w:tc>
        <w:tc>
          <w:tcPr>
            <w:tcW w:w="720" w:type="dxa"/>
            <w:vAlign w:val="bottom"/>
            <w:gridSpan w:val="6"/>
          </w:tcPr>
          <w:p>
            <w:pPr>
              <w:spacing w:after="0"/>
              <w:rPr>
                <w:sz w:val="20"/>
                <w:szCs w:val="20"/>
                <w:color w:val="auto"/>
              </w:rPr>
            </w:pPr>
          </w:p>
        </w:tc>
        <w:tc>
          <w:tcPr>
            <w:tcW w:w="8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rPr>
              <w:t>[Reserved]</w:t>
            </w:r>
          </w:p>
        </w:tc>
        <w:tc>
          <w:tcPr>
            <w:tcW w:w="7720" w:type="dxa"/>
            <w:vAlign w:val="bottom"/>
            <w:tcBorders>
              <w:top w:val="single" w:sz="8" w:color="0000FF"/>
            </w:tcBorders>
            <w:gridSpan w:val="26"/>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41"/>
        </w:trPr>
        <w:tc>
          <w:tcPr>
            <w:tcW w:w="20" w:type="dxa"/>
            <w:vAlign w:val="bottom"/>
          </w:tcPr>
          <w:p>
            <w:pPr>
              <w:spacing w:after="0"/>
              <w:rPr>
                <w:sz w:val="20"/>
                <w:szCs w:val="20"/>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9"/>
              </w:rPr>
              <w:t>Item 7.</w:t>
            </w:r>
          </w:p>
        </w:tc>
        <w:tc>
          <w:tcPr>
            <w:tcW w:w="720" w:type="dxa"/>
            <w:vAlign w:val="bottom"/>
            <w:gridSpan w:val="6"/>
          </w:tcPr>
          <w:p>
            <w:pPr>
              <w:spacing w:after="0"/>
              <w:rPr>
                <w:sz w:val="20"/>
                <w:szCs w:val="20"/>
                <w:color w:val="auto"/>
              </w:rPr>
            </w:pPr>
          </w:p>
        </w:tc>
        <w:tc>
          <w:tcPr>
            <w:tcW w:w="6860" w:type="dxa"/>
            <w:vAlign w:val="bottom"/>
            <w:tcBorders>
              <w:bottom w:val="single" w:sz="8" w:color="0000FF"/>
            </w:tcBorders>
            <w:gridSpan w:val="27"/>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2200" w:type="dxa"/>
            <w:vAlign w:val="bottom"/>
            <w:gridSpan w:val="4"/>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41"/>
        </w:trPr>
        <w:tc>
          <w:tcPr>
            <w:tcW w:w="20" w:type="dxa"/>
            <w:vAlign w:val="bottom"/>
          </w:tcPr>
          <w:p>
            <w:pPr>
              <w:spacing w:after="0"/>
              <w:rPr>
                <w:sz w:val="20"/>
                <w:szCs w:val="20"/>
                <w:color w:val="auto"/>
              </w:rPr>
            </w:pPr>
          </w:p>
        </w:tc>
        <w:tc>
          <w:tcPr>
            <w:tcW w:w="660" w:type="dxa"/>
            <w:vAlign w:val="bottom"/>
            <w:gridSpan w:val="4"/>
          </w:tcPr>
          <w:p>
            <w:pPr>
              <w:spacing w:after="0"/>
              <w:rPr>
                <w:sz w:val="20"/>
                <w:szCs w:val="20"/>
                <w:color w:val="auto"/>
              </w:rPr>
            </w:pPr>
            <w:r>
              <w:rPr>
                <w:rFonts w:ascii="Arial" w:cs="Arial" w:eastAsia="Arial" w:hAnsi="Arial"/>
                <w:sz w:val="17"/>
                <w:szCs w:val="17"/>
                <w:color w:val="0000FF"/>
              </w:rPr>
              <w:t>Item 7A.</w:t>
            </w:r>
          </w:p>
        </w:tc>
        <w:tc>
          <w:tcPr>
            <w:tcW w:w="600" w:type="dxa"/>
            <w:vAlign w:val="bottom"/>
            <w:gridSpan w:val="3"/>
          </w:tcPr>
          <w:p>
            <w:pPr>
              <w:spacing w:after="0"/>
              <w:rPr>
                <w:sz w:val="20"/>
                <w:szCs w:val="20"/>
                <w:color w:val="auto"/>
              </w:rPr>
            </w:pPr>
          </w:p>
        </w:tc>
        <w:tc>
          <w:tcPr>
            <w:tcW w:w="9060" w:type="dxa"/>
            <w:vAlign w:val="bottom"/>
            <w:gridSpan w:val="31"/>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90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41"/>
        </w:trPr>
        <w:tc>
          <w:tcPr>
            <w:tcW w:w="2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7"/>
                <w:szCs w:val="17"/>
                <w:color w:val="0000FF"/>
                <w:w w:val="99"/>
              </w:rPr>
              <w:t>Item 8.</w:t>
            </w:r>
          </w:p>
        </w:tc>
        <w:tc>
          <w:tcPr>
            <w:tcW w:w="120" w:type="dxa"/>
            <w:vAlign w:val="bottom"/>
            <w:tcBorders>
              <w:top w:val="single" w:sz="8" w:color="0000FF"/>
            </w:tcBorders>
            <w:gridSpan w:val="3"/>
          </w:tcPr>
          <w:p>
            <w:pPr>
              <w:spacing w:after="0"/>
              <w:rPr>
                <w:sz w:val="20"/>
                <w:szCs w:val="20"/>
                <w:color w:val="auto"/>
              </w:rPr>
            </w:pPr>
          </w:p>
        </w:tc>
        <w:tc>
          <w:tcPr>
            <w:tcW w:w="600" w:type="dxa"/>
            <w:vAlign w:val="bottom"/>
            <w:gridSpan w:val="3"/>
          </w:tcPr>
          <w:p>
            <w:pPr>
              <w:spacing w:after="0"/>
              <w:rPr>
                <w:sz w:val="20"/>
                <w:szCs w:val="20"/>
                <w:color w:val="auto"/>
              </w:rPr>
            </w:pPr>
          </w:p>
        </w:tc>
        <w:tc>
          <w:tcPr>
            <w:tcW w:w="4560" w:type="dxa"/>
            <w:vAlign w:val="bottom"/>
            <w:tcBorders>
              <w:top w:val="single" w:sz="8" w:color="0000FF"/>
            </w:tcBorders>
            <w:gridSpan w:val="21"/>
          </w:tcPr>
          <w:p>
            <w:pPr>
              <w:spacing w:after="0"/>
              <w:rPr>
                <w:sz w:val="20"/>
                <w:szCs w:val="20"/>
                <w:color w:val="auto"/>
              </w:rPr>
            </w:pPr>
            <w:r>
              <w:rPr>
                <w:rFonts w:ascii="Arial" w:cs="Arial" w:eastAsia="Arial" w:hAnsi="Arial"/>
                <w:sz w:val="17"/>
                <w:szCs w:val="17"/>
                <w:color w:val="0000FF"/>
              </w:rPr>
              <w:t>Financial Statements and Supplementary Data</w:t>
            </w:r>
          </w:p>
        </w:tc>
        <w:tc>
          <w:tcPr>
            <w:tcW w:w="4500" w:type="dxa"/>
            <w:vAlign w:val="bottom"/>
            <w:gridSpan w:val="10"/>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F-1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7"/>
                <w:szCs w:val="17"/>
                <w:color w:val="0000FF"/>
                <w:w w:val="99"/>
              </w:rPr>
              <w:t>Item 9.</w:t>
            </w:r>
          </w:p>
        </w:tc>
        <w:tc>
          <w:tcPr>
            <w:tcW w:w="720" w:type="dxa"/>
            <w:vAlign w:val="bottom"/>
            <w:gridSpan w:val="6"/>
          </w:tcPr>
          <w:p>
            <w:pPr>
              <w:spacing w:after="0"/>
              <w:rPr>
                <w:sz w:val="20"/>
                <w:szCs w:val="20"/>
                <w:color w:val="auto"/>
              </w:rPr>
            </w:pPr>
          </w:p>
        </w:tc>
        <w:tc>
          <w:tcPr>
            <w:tcW w:w="9060" w:type="dxa"/>
            <w:vAlign w:val="bottom"/>
            <w:gridSpan w:val="31"/>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Item 9A.</w:t>
            </w:r>
          </w:p>
        </w:tc>
        <w:tc>
          <w:tcPr>
            <w:tcW w:w="580" w:type="dxa"/>
            <w:vAlign w:val="bottom"/>
            <w:gridSpan w:val="2"/>
          </w:tcPr>
          <w:p>
            <w:pPr>
              <w:spacing w:after="0"/>
              <w:rPr>
                <w:sz w:val="20"/>
                <w:szCs w:val="20"/>
                <w:color w:val="auto"/>
              </w:rPr>
            </w:pPr>
          </w:p>
        </w:tc>
        <w:tc>
          <w:tcPr>
            <w:tcW w:w="194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rPr>
              <w:t>Controls and Procedures</w:t>
            </w:r>
          </w:p>
        </w:tc>
        <w:tc>
          <w:tcPr>
            <w:tcW w:w="7120" w:type="dxa"/>
            <w:vAlign w:val="bottom"/>
            <w:gridSpan w:val="20"/>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41"/>
        </w:trPr>
        <w:tc>
          <w:tcPr>
            <w:tcW w:w="20" w:type="dxa"/>
            <w:vAlign w:val="bottom"/>
          </w:tcPr>
          <w:p>
            <w:pPr>
              <w:spacing w:after="0"/>
              <w:rPr>
                <w:sz w:val="20"/>
                <w:szCs w:val="20"/>
                <w:color w:val="auto"/>
              </w:rPr>
            </w:pPr>
          </w:p>
        </w:tc>
        <w:tc>
          <w:tcPr>
            <w:tcW w:w="680" w:type="dxa"/>
            <w:vAlign w:val="bottom"/>
            <w:gridSpan w:val="5"/>
          </w:tcPr>
          <w:p>
            <w:pPr>
              <w:spacing w:after="0"/>
              <w:rPr>
                <w:sz w:val="20"/>
                <w:szCs w:val="20"/>
                <w:color w:val="auto"/>
              </w:rPr>
            </w:pPr>
            <w:r>
              <w:rPr>
                <w:rFonts w:ascii="Arial" w:cs="Arial" w:eastAsia="Arial" w:hAnsi="Arial"/>
                <w:sz w:val="17"/>
                <w:szCs w:val="17"/>
                <w:color w:val="0000FF"/>
              </w:rPr>
              <w:t>Item 9B.</w:t>
            </w:r>
          </w:p>
        </w:tc>
        <w:tc>
          <w:tcPr>
            <w:tcW w:w="580" w:type="dxa"/>
            <w:vAlign w:val="bottom"/>
            <w:gridSpan w:val="2"/>
          </w:tcPr>
          <w:p>
            <w:pPr>
              <w:spacing w:after="0"/>
              <w:rPr>
                <w:sz w:val="20"/>
                <w:szCs w:val="20"/>
                <w:color w:val="auto"/>
              </w:rPr>
            </w:pPr>
          </w:p>
        </w:tc>
        <w:tc>
          <w:tcPr>
            <w:tcW w:w="9060" w:type="dxa"/>
            <w:vAlign w:val="bottom"/>
            <w:gridSpan w:val="31"/>
          </w:tcPr>
          <w:p>
            <w:pPr>
              <w:spacing w:after="0"/>
              <w:rPr>
                <w:sz w:val="20"/>
                <w:szCs w:val="20"/>
                <w:color w:val="auto"/>
              </w:rPr>
            </w:pPr>
            <w:r>
              <w:rPr>
                <w:rFonts w:ascii="Arial" w:cs="Arial" w:eastAsia="Arial" w:hAnsi="Arial"/>
                <w:sz w:val="17"/>
                <w:szCs w:val="17"/>
                <w:color w:val="0000FF"/>
              </w:rPr>
              <w:t>Other Information</w:t>
            </w:r>
          </w:p>
        </w:tc>
        <w:tc>
          <w:tcPr>
            <w:tcW w:w="90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gridSpan w:val="5"/>
          </w:tcPr>
          <w:p>
            <w:pPr>
              <w:spacing w:after="0"/>
              <w:rPr>
                <w:sz w:val="20"/>
                <w:szCs w:val="20"/>
                <w:color w:val="auto"/>
              </w:rPr>
            </w:pPr>
            <w:r>
              <w:rPr>
                <w:rFonts w:ascii="Arial" w:cs="Arial" w:eastAsia="Arial" w:hAnsi="Arial"/>
                <w:sz w:val="17"/>
                <w:szCs w:val="17"/>
                <w:color w:val="0000FF"/>
              </w:rPr>
              <w:t>Item 9C.</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60" w:type="dxa"/>
            <w:vAlign w:val="bottom"/>
            <w:gridSpan w:val="31"/>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90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502"/>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60" w:type="dxa"/>
            <w:vAlign w:val="bottom"/>
            <w:tcBorders>
              <w:top w:val="single" w:sz="8" w:color="0000FF"/>
              <w:bottom w:val="single" w:sz="8" w:color="0000FF"/>
            </w:tcBorders>
            <w:gridSpan w:val="7"/>
          </w:tcPr>
          <w:p>
            <w:pPr>
              <w:jc w:val="center"/>
              <w:spacing w:after="0"/>
              <w:rPr>
                <w:sz w:val="20"/>
                <w:szCs w:val="20"/>
                <w:color w:val="auto"/>
              </w:rPr>
            </w:pPr>
            <w:r>
              <w:rPr>
                <w:rFonts w:ascii="Arial" w:cs="Arial" w:eastAsia="Arial" w:hAnsi="Arial"/>
                <w:sz w:val="17"/>
                <w:szCs w:val="17"/>
                <w:b w:val="1"/>
                <w:bCs w:val="1"/>
                <w:color w:val="0000FF"/>
              </w:rPr>
              <w:t>PART III</w:t>
            </w:r>
          </w:p>
        </w:tc>
        <w:tc>
          <w:tcPr>
            <w:tcW w:w="540" w:type="dxa"/>
            <w:vAlign w:val="bottom"/>
            <w:tcBorders>
              <w:top w:val="single" w:sz="8" w:color="0000FF"/>
            </w:tcBorders>
          </w:tcPr>
          <w:p>
            <w:pPr>
              <w:spacing w:after="0"/>
              <w:rPr>
                <w:sz w:val="24"/>
                <w:szCs w:val="24"/>
                <w:color w:val="auto"/>
              </w:rPr>
            </w:pPr>
          </w:p>
        </w:tc>
        <w:tc>
          <w:tcPr>
            <w:tcW w:w="384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r>
      <w:tr>
        <w:trPr>
          <w:trHeight w:val="502"/>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rPr>
              <w:t>Item 10.</w:t>
            </w:r>
          </w:p>
        </w:tc>
        <w:tc>
          <w:tcPr>
            <w:tcW w:w="620" w:type="dxa"/>
            <w:vAlign w:val="bottom"/>
            <w:gridSpan w:val="4"/>
          </w:tcPr>
          <w:p>
            <w:pPr>
              <w:spacing w:after="0"/>
              <w:rPr>
                <w:sz w:val="24"/>
                <w:szCs w:val="24"/>
                <w:color w:val="auto"/>
              </w:rPr>
            </w:pPr>
          </w:p>
        </w:tc>
        <w:tc>
          <w:tcPr>
            <w:tcW w:w="436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rPr>
              <w:t>Directors, Executive Officers and Corporate Governance</w:t>
            </w:r>
          </w:p>
        </w:tc>
        <w:tc>
          <w:tcPr>
            <w:tcW w:w="47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41"/>
        </w:trPr>
        <w:tc>
          <w:tcPr>
            <w:tcW w:w="20" w:type="dxa"/>
            <w:vAlign w:val="bottom"/>
          </w:tcPr>
          <w:p>
            <w:pPr>
              <w:spacing w:after="0"/>
              <w:rPr>
                <w:sz w:val="20"/>
                <w:szCs w:val="20"/>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7"/>
              </w:rPr>
              <w:t>Item 11.</w:t>
            </w:r>
          </w:p>
        </w:tc>
        <w:tc>
          <w:tcPr>
            <w:tcW w:w="640" w:type="dxa"/>
            <w:vAlign w:val="bottom"/>
            <w:gridSpan w:val="5"/>
          </w:tcPr>
          <w:p>
            <w:pPr>
              <w:spacing w:after="0"/>
              <w:rPr>
                <w:sz w:val="20"/>
                <w:szCs w:val="20"/>
                <w:color w:val="auto"/>
              </w:rPr>
            </w:pPr>
          </w:p>
        </w:tc>
        <w:tc>
          <w:tcPr>
            <w:tcW w:w="194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rPr>
              <w:t>Executive Compensation</w:t>
            </w:r>
          </w:p>
        </w:tc>
        <w:tc>
          <w:tcPr>
            <w:tcW w:w="7120" w:type="dxa"/>
            <w:vAlign w:val="bottom"/>
            <w:gridSpan w:val="20"/>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41"/>
        </w:trPr>
        <w:tc>
          <w:tcPr>
            <w:tcW w:w="20" w:type="dxa"/>
            <w:vAlign w:val="bottom"/>
          </w:tcPr>
          <w:p>
            <w:pPr>
              <w:spacing w:after="0"/>
              <w:rPr>
                <w:sz w:val="20"/>
                <w:szCs w:val="20"/>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rPr>
              <w:t>Item 12.</w:t>
            </w:r>
          </w:p>
        </w:tc>
        <w:tc>
          <w:tcPr>
            <w:tcW w:w="620" w:type="dxa"/>
            <w:vAlign w:val="bottom"/>
            <w:gridSpan w:val="4"/>
          </w:tcPr>
          <w:p>
            <w:pPr>
              <w:spacing w:after="0"/>
              <w:rPr>
                <w:sz w:val="20"/>
                <w:szCs w:val="20"/>
                <w:color w:val="auto"/>
              </w:rPr>
            </w:pPr>
          </w:p>
        </w:tc>
        <w:tc>
          <w:tcPr>
            <w:tcW w:w="7760" w:type="dxa"/>
            <w:vAlign w:val="bottom"/>
            <w:tcBorders>
              <w:bottom w:val="single" w:sz="8" w:color="0000FF"/>
            </w:tcBorders>
            <w:gridSpan w:val="29"/>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300" w:type="dxa"/>
            <w:vAlign w:val="bottom"/>
            <w:gridSpan w:val="2"/>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41"/>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7"/>
                <w:szCs w:val="17"/>
                <w:color w:val="0000FF"/>
              </w:rPr>
              <w:t>Item 13.</w:t>
            </w:r>
          </w:p>
        </w:tc>
        <w:tc>
          <w:tcPr>
            <w:tcW w:w="620" w:type="dxa"/>
            <w:vAlign w:val="bottom"/>
            <w:gridSpan w:val="4"/>
          </w:tcPr>
          <w:p>
            <w:pPr>
              <w:spacing w:after="0"/>
              <w:rPr>
                <w:sz w:val="20"/>
                <w:szCs w:val="20"/>
                <w:color w:val="auto"/>
              </w:rPr>
            </w:pPr>
          </w:p>
        </w:tc>
        <w:tc>
          <w:tcPr>
            <w:tcW w:w="9060" w:type="dxa"/>
            <w:vAlign w:val="bottom"/>
            <w:gridSpan w:val="31"/>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90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41"/>
        </w:trPr>
        <w:tc>
          <w:tcPr>
            <w:tcW w:w="20" w:type="dxa"/>
            <w:vAlign w:val="bottom"/>
          </w:tcPr>
          <w:p>
            <w:pPr>
              <w:spacing w:after="0"/>
              <w:rPr>
                <w:sz w:val="20"/>
                <w:szCs w:val="20"/>
                <w:color w:val="auto"/>
              </w:rPr>
            </w:pPr>
          </w:p>
        </w:tc>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rPr>
              <w:t>Item 14.</w:t>
            </w:r>
          </w:p>
        </w:tc>
        <w:tc>
          <w:tcPr>
            <w:tcW w:w="620" w:type="dxa"/>
            <w:vAlign w:val="bottom"/>
            <w:gridSpan w:val="4"/>
          </w:tcPr>
          <w:p>
            <w:pPr>
              <w:spacing w:after="0"/>
              <w:rPr>
                <w:sz w:val="20"/>
                <w:szCs w:val="20"/>
                <w:color w:val="auto"/>
              </w:rPr>
            </w:pPr>
          </w:p>
        </w:tc>
        <w:tc>
          <w:tcPr>
            <w:tcW w:w="5880" w:type="dxa"/>
            <w:vAlign w:val="bottom"/>
            <w:tcBorders>
              <w:top w:val="single" w:sz="8" w:color="0000FF"/>
            </w:tcBorders>
            <w:gridSpan w:val="26"/>
          </w:tcPr>
          <w:p>
            <w:pPr>
              <w:spacing w:after="0"/>
              <w:rPr>
                <w:sz w:val="20"/>
                <w:szCs w:val="20"/>
                <w:color w:val="auto"/>
              </w:rPr>
            </w:pPr>
            <w:r>
              <w:rPr>
                <w:rFonts w:ascii="Arial" w:cs="Arial" w:eastAsia="Arial" w:hAnsi="Arial"/>
                <w:sz w:val="17"/>
                <w:szCs w:val="17"/>
                <w:color w:val="0000FF"/>
              </w:rPr>
              <w:t>Principal Accountant Fees and Services</w:t>
            </w:r>
          </w:p>
        </w:tc>
        <w:tc>
          <w:tcPr>
            <w:tcW w:w="3180" w:type="dxa"/>
            <w:vAlign w:val="bottom"/>
            <w:gridSpan w:val="5"/>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50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60" w:type="dxa"/>
            <w:vAlign w:val="bottom"/>
            <w:gridSpan w:val="15"/>
          </w:tcPr>
          <w:p>
            <w:pPr>
              <w:jc w:val="center"/>
              <w:ind w:right="4380"/>
              <w:spacing w:after="0"/>
              <w:rPr>
                <w:sz w:val="20"/>
                <w:szCs w:val="20"/>
                <w:color w:val="auto"/>
              </w:rPr>
            </w:pPr>
            <w:r>
              <w:rPr>
                <w:rFonts w:ascii="Arial" w:cs="Arial" w:eastAsia="Arial" w:hAnsi="Arial"/>
                <w:sz w:val="17"/>
                <w:szCs w:val="17"/>
                <w:b w:val="1"/>
                <w:bCs w:val="1"/>
                <w:color w:val="0000FF"/>
              </w:rPr>
              <w:t>PART IV</w:t>
            </w:r>
          </w:p>
        </w:tc>
        <w:tc>
          <w:tcPr>
            <w:tcW w:w="900" w:type="dxa"/>
            <w:vAlign w:val="bottom"/>
          </w:tcPr>
          <w:p>
            <w:pPr>
              <w:spacing w:after="0"/>
              <w:rPr>
                <w:sz w:val="24"/>
                <w:szCs w:val="24"/>
                <w:color w:val="auto"/>
              </w:rPr>
            </w:pPr>
          </w:p>
        </w:tc>
      </w:tr>
      <w:tr>
        <w:trPr>
          <w:trHeight w:val="50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7"/>
                <w:szCs w:val="17"/>
                <w:color w:val="0000FF"/>
              </w:rPr>
              <w:t>Item 15.</w:t>
            </w:r>
          </w:p>
        </w:tc>
        <w:tc>
          <w:tcPr>
            <w:tcW w:w="620" w:type="dxa"/>
            <w:vAlign w:val="bottom"/>
            <w:gridSpan w:val="4"/>
          </w:tcPr>
          <w:p>
            <w:pPr>
              <w:spacing w:after="0"/>
              <w:rPr>
                <w:sz w:val="24"/>
                <w:szCs w:val="24"/>
                <w:color w:val="auto"/>
              </w:rPr>
            </w:pPr>
          </w:p>
        </w:tc>
        <w:tc>
          <w:tcPr>
            <w:tcW w:w="4000" w:type="dxa"/>
            <w:vAlign w:val="bottom"/>
            <w:gridSpan w:val="16"/>
          </w:tcPr>
          <w:p>
            <w:pPr>
              <w:spacing w:after="0"/>
              <w:rPr>
                <w:sz w:val="20"/>
                <w:szCs w:val="20"/>
                <w:color w:val="auto"/>
              </w:rPr>
            </w:pPr>
            <w:r>
              <w:rPr>
                <w:rFonts w:ascii="Arial" w:cs="Arial" w:eastAsia="Arial" w:hAnsi="Arial"/>
                <w:sz w:val="17"/>
                <w:szCs w:val="17"/>
                <w:color w:val="0000FF"/>
              </w:rPr>
              <w:t>Exhibits and Financial Statement Schedules</w:t>
            </w:r>
          </w:p>
        </w:tc>
        <w:tc>
          <w:tcPr>
            <w:tcW w:w="680" w:type="dxa"/>
            <w:vAlign w:val="bottom"/>
            <w:tcBorders>
              <w:top w:val="single" w:sz="8" w:color="0000FF"/>
            </w:tcBorders>
            <w:gridSpan w:val="8"/>
          </w:tcPr>
          <w:p>
            <w:pPr>
              <w:spacing w:after="0"/>
              <w:rPr>
                <w:sz w:val="24"/>
                <w:szCs w:val="24"/>
                <w:color w:val="auto"/>
              </w:rPr>
            </w:pPr>
          </w:p>
        </w:tc>
        <w:tc>
          <w:tcPr>
            <w:tcW w:w="438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241"/>
        </w:trPr>
        <w:tc>
          <w:tcPr>
            <w:tcW w:w="20" w:type="dxa"/>
            <w:vAlign w:val="bottom"/>
          </w:tcPr>
          <w:p>
            <w:pPr>
              <w:spacing w:after="0"/>
              <w:rPr>
                <w:sz w:val="20"/>
                <w:szCs w:val="20"/>
                <w:color w:val="auto"/>
              </w:rPr>
            </w:pPr>
          </w:p>
        </w:tc>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rPr>
              <w:t>Item 16.</w:t>
            </w:r>
          </w:p>
        </w:tc>
        <w:tc>
          <w:tcPr>
            <w:tcW w:w="620" w:type="dxa"/>
            <w:vAlign w:val="bottom"/>
            <w:gridSpan w:val="4"/>
          </w:tcPr>
          <w:p>
            <w:pPr>
              <w:spacing w:after="0"/>
              <w:rPr>
                <w:sz w:val="20"/>
                <w:szCs w:val="20"/>
                <w:color w:val="auto"/>
              </w:rPr>
            </w:pPr>
          </w:p>
        </w:tc>
        <w:tc>
          <w:tcPr>
            <w:tcW w:w="3400" w:type="dxa"/>
            <w:vAlign w:val="bottom"/>
            <w:tcBorders>
              <w:top w:val="single" w:sz="8" w:color="0000FF"/>
            </w:tcBorders>
            <w:gridSpan w:val="14"/>
          </w:tcPr>
          <w:p>
            <w:pPr>
              <w:spacing w:after="0"/>
              <w:rPr>
                <w:sz w:val="20"/>
                <w:szCs w:val="20"/>
                <w:color w:val="auto"/>
              </w:rPr>
            </w:pPr>
            <w:r>
              <w:rPr>
                <w:rFonts w:ascii="Arial" w:cs="Arial" w:eastAsia="Arial" w:hAnsi="Arial"/>
                <w:sz w:val="17"/>
                <w:szCs w:val="17"/>
                <w:color w:val="0000FF"/>
              </w:rPr>
              <w:t>Form 10-K Summary</w:t>
            </w:r>
          </w:p>
        </w:tc>
        <w:tc>
          <w:tcPr>
            <w:tcW w:w="5660" w:type="dxa"/>
            <w:vAlign w:val="bottom"/>
            <w:gridSpan w:val="17"/>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93"/>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rPr>
              <w:t>Signatures</w:t>
            </w:r>
          </w:p>
        </w:tc>
        <w:tc>
          <w:tcPr>
            <w:tcW w:w="780" w:type="dxa"/>
            <w:vAlign w:val="bottom"/>
            <w:tcBorders>
              <w:top w:val="single" w:sz="8" w:color="0000FF"/>
            </w:tcBorders>
            <w:gridSpan w:val="6"/>
          </w:tcPr>
          <w:p>
            <w:pPr>
              <w:spacing w:after="0"/>
              <w:rPr>
                <w:sz w:val="24"/>
                <w:szCs w:val="24"/>
                <w:color w:val="auto"/>
              </w:rPr>
            </w:pPr>
          </w:p>
        </w:tc>
        <w:tc>
          <w:tcPr>
            <w:tcW w:w="7440" w:type="dxa"/>
            <w:vAlign w:val="bottom"/>
            <w:gridSpan w:val="2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9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gridSpan w:val="21"/>
          </w:tcPr>
          <w:p>
            <w:pPr>
              <w:jc w:val="center"/>
              <w:ind w:left="4053"/>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6"/>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firstLine="627"/>
        <w:spacing w:after="0" w:line="260" w:lineRule="auto"/>
        <w:rPr>
          <w:sz w:val="20"/>
          <w:szCs w:val="20"/>
          <w:color w:val="auto"/>
        </w:rPr>
      </w:pPr>
      <w:r>
        <w:rPr>
          <w:rFonts w:ascii="Arial" w:cs="Arial" w:eastAsia="Arial" w:hAnsi="Arial"/>
          <w:sz w:val="17"/>
          <w:szCs w:val="17"/>
          <w:color w:val="auto"/>
        </w:rPr>
        <w:t>We are a clinical-stage biopharmaceutical company on a mission to revolutionize the current treatment paradigm for cystic fibrosis (“CF”) by developing novel medicines that normalize the function of the cystic fibrosis transmembrane conductance regulator (“CFTR”) protein to deliver clinically meaningful benefit to people with CF. CF is a progressive and life-threatening genetic disease caused by inherited mutations in the CFTR gene, which lead to insufficient CFTR function. While advances in the discovery and development of CFTR modulators have significantly improved the lives of people with CF, at least two-thirds of patients on the current standard of care do not have normal CFTR function, defined as sweat chloride levels below 30 mmol/L. Patients with reduced CFTR function can experience debilitating multi-system complications that lead to significantly impaired quality of life and shorter life expectancy. Our goal is to deliver differentiated medicines for people with CF that can restore their CFTR function to as close to normal as possible by directly stabilizing CFTR’s nucleotide binding domain 1 (“NBD1”). Despite having long been identified as a critical component for proper CFTR function, NBD1 has been considered “undruggable,” and none of the currently approved CF therapies directly stabilizes NBD1. Leveraging more than a decade of our co-founders’ research on NBD1, we are advancing a pipeline of small molecules engineered to correct the defects caused by the F508del genetic mutation, the most common CFTR mutation, which occurs in the NBD1 domain. Approximately 90% of people with CF carry at least one copy of the F508del genetic mutation.</w:t>
      </w:r>
    </w:p>
    <w:p>
      <w:pPr>
        <w:spacing w:after="0" w:line="174" w:lineRule="exact"/>
        <w:rPr>
          <w:sz w:val="20"/>
          <w:szCs w:val="20"/>
          <w:color w:val="auto"/>
        </w:rPr>
      </w:pPr>
    </w:p>
    <w:p>
      <w:pPr>
        <w:ind w:right="100" w:firstLine="627"/>
        <w:spacing w:after="0" w:line="263" w:lineRule="auto"/>
        <w:rPr>
          <w:sz w:val="20"/>
          <w:szCs w:val="20"/>
          <w:color w:val="auto"/>
        </w:rPr>
      </w:pPr>
      <w:r>
        <w:rPr>
          <w:rFonts w:ascii="Arial" w:cs="Arial" w:eastAsia="Arial" w:hAnsi="Arial"/>
          <w:sz w:val="17"/>
          <w:szCs w:val="17"/>
          <w:color w:val="auto"/>
        </w:rPr>
        <w:t>We believe stabilizing NBD1 is central to unlocking dramatic improvements in clinical outcomes and quality of life for people with CF. The NBD1 domain of the CFTR protein, as illustrated in Figure 1 below, plays a key role in the folding, assembly, stability and trafficking of CFTR to a cell’s surface, where it normally functions as an ion channel to regulate chloride and water transport. Within the NBD1 domain, F508del severely destabilizes CFTR, disrupting its proper assembly, impairing half-life and decreasing chloride channel function. We have employed biophysical, cell-based and virtual screening campaigns and extensive use of structural biology to guide the optimization of our novel small molecule NBD1 stabilizers. We are also advancing a portfolio of complementary CFTR modulator candidates designed to work synergistically with our NBD1 stabilizers to improve CFTR function, as seen in preclinical models.</w:t>
      </w:r>
    </w:p>
    <w:p>
      <w:pPr>
        <w:spacing w:after="0" w:line="171" w:lineRule="exact"/>
        <w:rPr>
          <w:sz w:val="20"/>
          <w:szCs w:val="20"/>
          <w:color w:val="auto"/>
        </w:rPr>
      </w:pPr>
    </w:p>
    <w:p>
      <w:pPr>
        <w:ind w:right="20" w:firstLine="627"/>
        <w:spacing w:after="0" w:line="270" w:lineRule="auto"/>
        <w:rPr>
          <w:sz w:val="20"/>
          <w:szCs w:val="20"/>
          <w:color w:val="auto"/>
        </w:rPr>
      </w:pPr>
      <w:r>
        <w:rPr>
          <w:rFonts w:ascii="Arial" w:cs="Arial" w:eastAsia="Arial" w:hAnsi="Arial"/>
          <w:sz w:val="17"/>
          <w:szCs w:val="17"/>
          <w:color w:val="auto"/>
        </w:rPr>
        <w:t>We believe our robust pipeline provides multiple potential pathways to achieve our mission, either through development of an NBD1 stabilizer and a complementary modulator in combination with each other to produce a proprietary dual combination, or an NBD1 stabilizer administered in combination with the standard of care for CF. While we have prioritized development of a proprietary dual combination, we believe both development pathways offer attractive commercial opportunities.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517525</wp:posOffset>
            </wp:positionV>
            <wp:extent cx="3415030" cy="2619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1503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Figure 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Pipeline</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our clinical stage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1237615</wp:posOffset>
            </wp:positionH>
            <wp:positionV relativeFrom="paragraph">
              <wp:posOffset>151765</wp:posOffset>
            </wp:positionV>
            <wp:extent cx="5073015" cy="2089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73015" cy="208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Figure 2</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proprietary portfolio is anchored by our NBD1 stabilizers and our complementary modulators. Our portfolio includes:</w:t>
      </w:r>
    </w:p>
    <w:p>
      <w:pPr>
        <w:spacing w:after="0" w:line="220" w:lineRule="exact"/>
        <w:rPr>
          <w:sz w:val="20"/>
          <w:szCs w:val="20"/>
          <w:color w:val="auto"/>
        </w:rPr>
      </w:pPr>
    </w:p>
    <w:p>
      <w:pPr>
        <w:ind w:left="640" w:hanging="166"/>
        <w:spacing w:after="0" w:line="267"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SION-719, which is being evaluated as an add-on to the standard of care</w:t>
      </w:r>
      <w:r>
        <w:rPr>
          <w:rFonts w:ascii="Arial" w:cs="Arial" w:eastAsia="Arial" w:hAnsi="Arial"/>
          <w:sz w:val="17"/>
          <w:szCs w:val="17"/>
          <w:color w:val="auto"/>
        </w:rPr>
        <w:t>: SION-719, a highly potent NBD1 stabilizer, is currently in a</w:t>
      </w:r>
      <w:r>
        <w:rPr>
          <w:rFonts w:ascii="Arial" w:cs="Arial" w:eastAsia="Arial" w:hAnsi="Arial"/>
          <w:sz w:val="17"/>
          <w:szCs w:val="17"/>
          <w:b w:val="1"/>
          <w:bCs w:val="1"/>
          <w:color w:val="auto"/>
        </w:rPr>
        <w:t xml:space="preserve"> </w:t>
      </w:r>
      <w:r>
        <w:rPr>
          <w:rFonts w:ascii="Arial" w:cs="Arial" w:eastAsia="Arial" w:hAnsi="Arial"/>
          <w:sz w:val="17"/>
          <w:szCs w:val="17"/>
          <w:color w:val="auto"/>
        </w:rPr>
        <w:t>Phase 2a proof-of-concept trial in CF patients, called PreciSION CF. The trial is evaluating SION-719 when administered with the standard of care for CF, Vertex Pharmaceuticals, Inc.’s (“Vertex”) Trikafta. Topline data from this trial is anticipated in mid-2026. In June 2025, we announced positive topline data from a Phase 1 trial of SION-719, which evaluated its pharmacokinetic (“PK”) profile, safety and tolerability in healthy volunteers.</w:t>
      </w:r>
    </w:p>
    <w:p>
      <w:pPr>
        <w:spacing w:after="0" w:line="165" w:lineRule="exact"/>
        <w:rPr>
          <w:rFonts w:ascii="Arial" w:cs="Arial" w:eastAsia="Arial" w:hAnsi="Arial"/>
          <w:sz w:val="17"/>
          <w:szCs w:val="17"/>
          <w:color w:val="auto"/>
        </w:rPr>
      </w:pPr>
    </w:p>
    <w:p>
      <w:pPr>
        <w:ind w:left="640" w:right="20" w:hanging="166"/>
        <w:spacing w:after="0" w:line="278"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SION-451, which is being evaluated in combinations with SION-2222 and SION-109</w:t>
      </w:r>
      <w:r>
        <w:rPr>
          <w:rFonts w:ascii="Arial" w:cs="Arial" w:eastAsia="Arial" w:hAnsi="Arial"/>
          <w:sz w:val="17"/>
          <w:szCs w:val="17"/>
          <w:color w:val="auto"/>
        </w:rPr>
        <w:t>: SION-451, a highly potent NBD1 stabilizer, is</w:t>
      </w:r>
      <w:r>
        <w:rPr>
          <w:rFonts w:ascii="Arial" w:cs="Arial" w:eastAsia="Arial" w:hAnsi="Arial"/>
          <w:sz w:val="17"/>
          <w:szCs w:val="17"/>
          <w:b w:val="1"/>
          <w:bCs w:val="1"/>
          <w:color w:val="auto"/>
        </w:rPr>
        <w:t xml:space="preserve"> </w:t>
      </w:r>
      <w:r>
        <w:rPr>
          <w:rFonts w:ascii="Arial" w:cs="Arial" w:eastAsia="Arial" w:hAnsi="Arial"/>
          <w:sz w:val="17"/>
          <w:szCs w:val="17"/>
          <w:color w:val="auto"/>
        </w:rPr>
        <w:t>currently being evaluated in dual combinations with each of galicaftor (SION-2222) and SION-109, two of our complementary modulators, in a Phase 1 trial in healthy</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212725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line="298" w:lineRule="auto"/>
        <w:rPr>
          <w:sz w:val="20"/>
          <w:szCs w:val="20"/>
          <w:color w:val="auto"/>
        </w:rPr>
      </w:pPr>
      <w:r>
        <w:rPr>
          <w:rFonts w:ascii="Arial" w:cs="Arial" w:eastAsia="Arial" w:hAnsi="Arial"/>
          <w:sz w:val="17"/>
          <w:szCs w:val="17"/>
          <w:color w:val="auto"/>
        </w:rPr>
        <w:t>volunteers. Topline data from this trial is anticipated in mid-2026. In June 2025, we announced positive topline data from the single agent portion of the Phase 1 trial, which evaluated SION-451’s PK profile, safety and tolerability in healthy volunteers.</w:t>
      </w:r>
    </w:p>
    <w:p>
      <w:pPr>
        <w:spacing w:after="0" w:line="139" w:lineRule="exact"/>
        <w:rPr>
          <w:sz w:val="20"/>
          <w:szCs w:val="20"/>
          <w:color w:val="auto"/>
        </w:rPr>
      </w:pPr>
    </w:p>
    <w:p>
      <w:pPr>
        <w:ind w:left="1260" w:right="220" w:hanging="159"/>
        <w:spacing w:after="0" w:line="271" w:lineRule="auto"/>
        <w:tabs>
          <w:tab w:leader="none" w:pos="1255"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SION-2222</w:t>
      </w:r>
      <w:r>
        <w:rPr>
          <w:rFonts w:ascii="Arial" w:cs="Arial" w:eastAsia="Arial" w:hAnsi="Arial"/>
          <w:sz w:val="17"/>
          <w:szCs w:val="17"/>
          <w:color w:val="auto"/>
        </w:rPr>
        <w:t>, a corrector that targets CFTR’s transmembrane domain 1 (“TMD 1”), was generally well tolerated in Phase 1 and</w:t>
      </w:r>
      <w:r>
        <w:rPr>
          <w:rFonts w:ascii="Arial" w:cs="Arial" w:eastAsia="Arial" w:hAnsi="Arial"/>
          <w:sz w:val="17"/>
          <w:szCs w:val="17"/>
          <w:b w:val="1"/>
          <w:bCs w:val="1"/>
          <w:color w:val="auto"/>
        </w:rPr>
        <w:t xml:space="preserve"> </w:t>
      </w:r>
      <w:r>
        <w:rPr>
          <w:rFonts w:ascii="Arial" w:cs="Arial" w:eastAsia="Arial" w:hAnsi="Arial"/>
          <w:sz w:val="17"/>
          <w:szCs w:val="17"/>
          <w:color w:val="auto"/>
        </w:rPr>
        <w:t>Phase 2 trials previously conducted by AbbVie Global Enterprises Ltd. (“AbbVie”). Improvement in sweat chloride as a monotherapy and improvements in sweat chloride and lung function as a combination therapy with navocaftor (SION-3067), a potentiator, were observed.</w:t>
      </w:r>
    </w:p>
    <w:p>
      <w:pPr>
        <w:spacing w:after="0" w:line="161" w:lineRule="exact"/>
        <w:rPr>
          <w:rFonts w:ascii="Arial" w:cs="Arial" w:eastAsia="Arial" w:hAnsi="Arial"/>
          <w:sz w:val="17"/>
          <w:szCs w:val="17"/>
          <w:color w:val="auto"/>
        </w:rPr>
      </w:pPr>
    </w:p>
    <w:p>
      <w:pPr>
        <w:ind w:left="1260" w:right="260" w:hanging="159"/>
        <w:spacing w:after="0" w:line="300" w:lineRule="auto"/>
        <w:tabs>
          <w:tab w:leader="none" w:pos="1255"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SION-109</w:t>
      </w:r>
      <w:r>
        <w:rPr>
          <w:rFonts w:ascii="Arial" w:cs="Arial" w:eastAsia="Arial" w:hAnsi="Arial"/>
          <w:sz w:val="17"/>
          <w:szCs w:val="17"/>
          <w:color w:val="auto"/>
        </w:rPr>
        <w:t>, a corrector that targets CFTR’s intracellular loop 4 (“ICL4”) region, has been evaluated in a Phase 1 clinical trial in</w:t>
      </w:r>
      <w:r>
        <w:rPr>
          <w:rFonts w:ascii="Arial" w:cs="Arial" w:eastAsia="Arial" w:hAnsi="Arial"/>
          <w:sz w:val="17"/>
          <w:szCs w:val="17"/>
          <w:b w:val="1"/>
          <w:bCs w:val="1"/>
          <w:color w:val="auto"/>
        </w:rPr>
        <w:t xml:space="preserve"> </w:t>
      </w:r>
      <w:r>
        <w:rPr>
          <w:rFonts w:ascii="Arial" w:cs="Arial" w:eastAsia="Arial" w:hAnsi="Arial"/>
          <w:sz w:val="17"/>
          <w:szCs w:val="17"/>
          <w:color w:val="auto"/>
        </w:rPr>
        <w:t>healthy volunteers, which was completed in 2024.</w:t>
      </w:r>
    </w:p>
    <w:p>
      <w:pPr>
        <w:spacing w:after="0" w:line="137" w:lineRule="exact"/>
        <w:rPr>
          <w:rFonts w:ascii="Arial" w:cs="Arial" w:eastAsia="Arial" w:hAnsi="Arial"/>
          <w:sz w:val="17"/>
          <w:szCs w:val="17"/>
          <w:color w:val="auto"/>
        </w:rPr>
      </w:pPr>
    </w:p>
    <w:p>
      <w:pPr>
        <w:ind w:left="640" w:right="300" w:hanging="166"/>
        <w:spacing w:after="0" w:line="27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Additional complementary modulators</w:t>
      </w:r>
      <w:r>
        <w:rPr>
          <w:rFonts w:ascii="Arial" w:cs="Arial" w:eastAsia="Arial" w:hAnsi="Arial"/>
          <w:sz w:val="17"/>
          <w:szCs w:val="17"/>
          <w:color w:val="auto"/>
        </w:rPr>
        <w:t>: We have additional CFTR modulators in our portfolio. SION-2851, a TMD1-directed CFTR</w:t>
      </w:r>
      <w:r>
        <w:rPr>
          <w:rFonts w:ascii="Arial" w:cs="Arial" w:eastAsia="Arial" w:hAnsi="Arial"/>
          <w:sz w:val="17"/>
          <w:szCs w:val="17"/>
          <w:b w:val="1"/>
          <w:bCs w:val="1"/>
          <w:color w:val="auto"/>
        </w:rPr>
        <w:t xml:space="preserve"> </w:t>
      </w:r>
      <w:r>
        <w:rPr>
          <w:rFonts w:ascii="Arial" w:cs="Arial" w:eastAsia="Arial" w:hAnsi="Arial"/>
          <w:sz w:val="17"/>
          <w:szCs w:val="17"/>
          <w:color w:val="auto"/>
        </w:rPr>
        <w:t>corrector, has completed a Phase 1 single-ascending dose (“SAD”) trial in healthy volunteers. SION-3067, a potentiator, has been evaluated in Phase 2 trials, where it demonstrated potential as a combination therapy.</w:t>
      </w:r>
    </w:p>
    <w:p>
      <w:pPr>
        <w:spacing w:after="0" w:line="158"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Our pipeline of product candidates target distinct binding sites across the CFTR structure, as depicted in Figure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1710055</wp:posOffset>
            </wp:positionH>
            <wp:positionV relativeFrom="paragraph">
              <wp:posOffset>151765</wp:posOffset>
            </wp:positionV>
            <wp:extent cx="3978910" cy="2428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78910" cy="242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80"/>
        <w:spacing w:after="0"/>
        <w:rPr>
          <w:sz w:val="20"/>
          <w:szCs w:val="20"/>
          <w:color w:val="auto"/>
        </w:rPr>
      </w:pPr>
      <w:r>
        <w:rPr>
          <w:rFonts w:ascii="Arial" w:cs="Arial" w:eastAsia="Arial" w:hAnsi="Arial"/>
          <w:sz w:val="17"/>
          <w:szCs w:val="17"/>
          <w:i w:val="1"/>
          <w:iCs w:val="1"/>
          <w:color w:val="auto"/>
        </w:rPr>
        <w:t>Figure 3</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mission is to revolutionize the current treatment paradigm for CF by developing novel medicines that normalize the function of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CFTR protein to deliver clinically meaningful benefit to people with CF. The key pillars of our strategy are:</w:t>
      </w:r>
    </w:p>
    <w:p>
      <w:pPr>
        <w:spacing w:after="0" w:line="204" w:lineRule="exact"/>
        <w:rPr>
          <w:sz w:val="20"/>
          <w:szCs w:val="20"/>
          <w:color w:val="auto"/>
        </w:rPr>
      </w:pPr>
    </w:p>
    <w:p>
      <w:pPr>
        <w:ind w:left="640" w:right="180" w:hanging="322"/>
        <w:spacing w:after="0" w:line="278"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Advance our novel NBD1 stabilizers leveraging a data-driven approach</w:t>
      </w:r>
      <w:r>
        <w:rPr>
          <w:rFonts w:ascii="Arial" w:cs="Arial" w:eastAsia="Arial" w:hAnsi="Arial"/>
          <w:sz w:val="17"/>
          <w:szCs w:val="17"/>
          <w:color w:val="auto"/>
        </w:rPr>
        <w:t>. Leveraging the differentiated profiles of SION-719 and</w:t>
      </w:r>
      <w:r>
        <w:rPr>
          <w:rFonts w:ascii="Arial" w:cs="Arial" w:eastAsia="Arial" w:hAnsi="Arial"/>
          <w:sz w:val="17"/>
          <w:szCs w:val="17"/>
          <w:b w:val="1"/>
          <w:bCs w:val="1"/>
          <w:color w:val="auto"/>
        </w:rPr>
        <w:t xml:space="preserve"> </w:t>
      </w:r>
      <w:r>
        <w:rPr>
          <w:rFonts w:ascii="Arial" w:cs="Arial" w:eastAsia="Arial" w:hAnsi="Arial"/>
          <w:sz w:val="17"/>
          <w:szCs w:val="17"/>
          <w:color w:val="auto"/>
        </w:rPr>
        <w:t>SION-451, we have advanced both product candidates to the next phase of development. Figure 4 below presents our strategy for the advancement of SION-719 and SION-451, focusing on distinct development pathways.</w:t>
      </w:r>
    </w:p>
    <w:p>
      <w:pPr>
        <w:spacing w:after="0" w:line="156" w:lineRule="exact"/>
        <w:rPr>
          <w:rFonts w:ascii="Arial" w:cs="Arial" w:eastAsia="Arial" w:hAnsi="Arial"/>
          <w:sz w:val="17"/>
          <w:szCs w:val="17"/>
          <w:color w:val="auto"/>
        </w:rPr>
      </w:pPr>
    </w:p>
    <w:p>
      <w:pPr>
        <w:ind w:left="640" w:right="340" w:hanging="322"/>
        <w:spacing w:after="0" w:line="278"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Develop and advance our pipeline of complementary modulators for proprietary combination product development</w:t>
      </w:r>
      <w:r>
        <w:rPr>
          <w:rFonts w:ascii="Arial" w:cs="Arial" w:eastAsia="Arial" w:hAnsi="Arial"/>
          <w:sz w:val="17"/>
          <w:szCs w:val="17"/>
          <w:color w:val="auto"/>
        </w:rPr>
        <w:t>. We are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developing a proprietary pipeline of complementary CFTR modulators designed to work synergistically with our NBD1 stabilizers to improve CFTR function, as seen in preclinical models.</w:t>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right="60" w:hanging="322"/>
        <w:spacing w:after="0" w:line="252"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Fortify our CF franchise through continued research efforts and utilization of the translational CFHBE model</w:t>
      </w:r>
      <w:r>
        <w:rPr>
          <w:rFonts w:ascii="Arial" w:cs="Arial" w:eastAsia="Arial" w:hAnsi="Arial"/>
          <w:sz w:val="17"/>
          <w:szCs w:val="17"/>
          <w:color w:val="auto"/>
        </w:rPr>
        <w:t>. Central to our</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strategy is our use of the industry standard, clinically predictive preclinical cystic fibrosis human bronchial epithelial (“CFHBE”) model to measure CFTR function. The CFHBE model has been highly predictive of clinical outcomes for approved CFTR modulators, and our application of the model provides a key translational roadmap for us to prioritize compounds for further evaluation. We believe the model allows us to determine the target exposure needed to achieve a desired level of clinical activity, such as the level of improvement in a patient’s forced expiratory volume in one second (“FEV</w:t>
      </w:r>
      <w:r>
        <w:rPr>
          <w:rFonts w:ascii="Arial" w:cs="Arial" w:eastAsia="Arial" w:hAnsi="Arial"/>
          <w:sz w:val="22"/>
          <w:szCs w:val="22"/>
          <w:color w:val="auto"/>
          <w:vertAlign w:val="subscript"/>
        </w:rPr>
        <w:t>1”</w:t>
      </w:r>
      <w:r>
        <w:rPr>
          <w:rFonts w:ascii="Arial" w:cs="Arial" w:eastAsia="Arial" w:hAnsi="Arial"/>
          <w:sz w:val="17"/>
          <w:szCs w:val="17"/>
          <w:color w:val="auto"/>
        </w:rPr>
        <w:t>), a measure of lung function, and sweat chloride level, the clinical biomarker of CFTR function. We intend to invest in research activities and leverage insights from the model in our pursuit of delivering additional differentiated product candidates that meaningfully impact the lives of people with CF and facilitate our company’s long-term growth. We also intend to opportunistically consider strategic in-licensing opportunities to maximize the value of our pipeline.</w:t>
      </w:r>
    </w:p>
    <w:p>
      <w:pPr>
        <w:spacing w:after="0" w:line="180" w:lineRule="exact"/>
        <w:rPr>
          <w:rFonts w:ascii="Arial" w:cs="Arial" w:eastAsia="Arial" w:hAnsi="Arial"/>
          <w:sz w:val="17"/>
          <w:szCs w:val="17"/>
          <w:color w:val="auto"/>
        </w:rPr>
      </w:pPr>
    </w:p>
    <w:p>
      <w:pPr>
        <w:ind w:left="640" w:right="140" w:hanging="322"/>
        <w:spacing w:after="0" w:line="300"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Expand and protect our intellectual property estate</w:t>
      </w:r>
      <w:r>
        <w:rPr>
          <w:rFonts w:ascii="Arial" w:cs="Arial" w:eastAsia="Arial" w:hAnsi="Arial"/>
          <w:sz w:val="17"/>
          <w:szCs w:val="17"/>
          <w:color w:val="auto"/>
        </w:rPr>
        <w:t>. We have developed a broad patent estate and expect to expand and protect our</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know-how and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99695</wp:posOffset>
            </wp:positionV>
            <wp:extent cx="5470525" cy="812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70525" cy="81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Figure 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Cystic Fibrosis, CFTR Function and the F508del Mutation</w:t>
      </w:r>
    </w:p>
    <w:p>
      <w:pPr>
        <w:spacing w:after="0" w:line="224"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An estimated 106,000 people have been diagnosed with CF across 94 countries, which includes approximately 40,000 adults and children living with this disease in the U.S., according to the Cystic Fibrosis Foundation (“CFF”). About 1,000 new CF cases are diagnosed every year in the U.S. While life expectancy for people with CF has improved significantly over the years since the first CFTR modulator was approved, the median predicted survival age for individuals with CF born in the U.S. between 2020 and 2024 is still just 65 years, according to the 2024 CFF patient registry. The majority of people who have been diagnosed with CF live in the U.S., the United Kingdom and Europe. CF is the most common fatal inherited disease in the U.S., and it can affect people of every racial and ethnic group.</w:t>
      </w:r>
    </w:p>
    <w:p>
      <w:pPr>
        <w:spacing w:after="0" w:line="172" w:lineRule="exact"/>
        <w:rPr>
          <w:sz w:val="20"/>
          <w:szCs w:val="20"/>
          <w:color w:val="auto"/>
        </w:rPr>
      </w:pPr>
    </w:p>
    <w:p>
      <w:pPr>
        <w:ind w:right="180" w:firstLine="627"/>
        <w:spacing w:after="0" w:line="264" w:lineRule="auto"/>
        <w:rPr>
          <w:sz w:val="20"/>
          <w:szCs w:val="20"/>
          <w:color w:val="auto"/>
        </w:rPr>
      </w:pPr>
      <w:r>
        <w:rPr>
          <w:rFonts w:ascii="Arial" w:cs="Arial" w:eastAsia="Arial" w:hAnsi="Arial"/>
          <w:sz w:val="17"/>
          <w:szCs w:val="17"/>
          <w:color w:val="auto"/>
        </w:rPr>
        <w:t>CF is caused by mutations to the CFTR gene that result in reduced or no function of the CFTR protein. The disease is autosomal recessive, meaning that two copies of a CFTR mutation are required to cause the disease: either two copies of the same mutation (“homozygous”) or two different mutations (“heterozygous”). The most common CFTR mutation is F508del, which is a deletion of the amino acid phenylalanine at position 508, which is in NBD1; approximately 90% of people with CF carry at least one copy of the F508del mutation, and approximately 44% of people with CF are homozygous for F508del. The F508del mutation is considered a severe CF mutation, and individuals with this mutation tend to fall at the worst end of the CF severity spectrum because they have little or no CFTR function in epithelial cells.</w:t>
      </w:r>
    </w:p>
    <w:p>
      <w:pPr>
        <w:spacing w:after="0" w:line="172" w:lineRule="exact"/>
        <w:rPr>
          <w:sz w:val="20"/>
          <w:szCs w:val="20"/>
          <w:color w:val="auto"/>
        </w:rPr>
      </w:pPr>
    </w:p>
    <w:p>
      <w:pPr>
        <w:ind w:firstLine="627"/>
        <w:spacing w:after="0" w:line="263" w:lineRule="auto"/>
        <w:rPr>
          <w:sz w:val="20"/>
          <w:szCs w:val="20"/>
          <w:color w:val="auto"/>
        </w:rPr>
      </w:pPr>
      <w:r>
        <w:rPr>
          <w:rFonts w:ascii="Arial" w:cs="Arial" w:eastAsia="Arial" w:hAnsi="Arial"/>
          <w:sz w:val="17"/>
          <w:szCs w:val="17"/>
          <w:color w:val="auto"/>
        </w:rPr>
        <w:t>The CFTR protein is found on the apical membrane, or surface, of epithelial cells throughout the body, including in the lungs, pancreas, sweat glands, biliary tract and intestines. The CFTR protein is critical for proper salt and water balance in the cell, which drives production of freely flowing mucus for tissue hydration in the airways, digestive system and other organs. In people with CF, mutations in the CFTR gene cause the CFTR protein to become dysfunctional. When the CFTR protein is not working properly, chloride—a component of salt—gets trapped in cells, as illustrated in Figure 5. Without chloride to attract water to the cell surface, thick mucus accumulates in vital organs such as the lungs, pancreas and gastrointestinal tract and causes multisystem complications, including respiratory infections, chronic lung inflammation, poor nutrient absorption and often progressive respiratory failure, which is the primary cause of death in people with CF.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732790</wp:posOffset>
            </wp:positionV>
            <wp:extent cx="5470525" cy="147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70525" cy="147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 xml:space="preserve">(Figure 5. </w:t>
      </w:r>
      <w:r>
        <w:rPr>
          <w:rFonts w:ascii="Arial" w:cs="Arial" w:eastAsia="Arial" w:hAnsi="Arial"/>
          <w:sz w:val="17"/>
          <w:szCs w:val="17"/>
          <w:b w:val="1"/>
          <w:bCs w:val="1"/>
          <w:i w:val="1"/>
          <w:iCs w:val="1"/>
          <w:color w:val="auto"/>
        </w:rPr>
        <w:t>Source:</w:t>
      </w:r>
      <w:r>
        <w:rPr>
          <w:rFonts w:ascii="Arial" w:cs="Arial" w:eastAsia="Arial" w:hAnsi="Arial"/>
          <w:sz w:val="17"/>
          <w:szCs w:val="17"/>
          <w:i w:val="1"/>
          <w:iCs w:val="1"/>
          <w:color w:val="auto"/>
        </w:rPr>
        <w:t xml:space="preserve"> Favia, 2019)</w:t>
      </w:r>
    </w:p>
    <w:p>
      <w:pPr>
        <w:spacing w:after="0" w:line="222"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As illustrated in Figure 6, the CFTR protein includes two nucleotide binding domains (NBD1 and NBD2) and two transmembrane domains (TMD1 and TMD2). The transmembrane domains form the ion channel across an epithelial cell’s membrane. The nucleotide binding domains facilitate the ion channel’s opening and closing by binding and hydrolyzing adenosine triphosphate. There are also four intracellular loops that link the nucleotide binding domains to the transmembrane domains and are important to regulating ion channel gating.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114935</wp:posOffset>
            </wp:positionV>
            <wp:extent cx="3100070" cy="2229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0007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Figure 6</w:t>
      </w:r>
    </w:p>
    <w:p>
      <w:pPr>
        <w:spacing w:after="0" w:line="327" w:lineRule="exact"/>
        <w:rPr>
          <w:sz w:val="20"/>
          <w:szCs w:val="20"/>
          <w:color w:val="auto"/>
        </w:rPr>
      </w:pPr>
    </w:p>
    <w:p>
      <w:pPr>
        <w:ind w:right="60" w:firstLine="627"/>
        <w:spacing w:after="0" w:line="266" w:lineRule="auto"/>
        <w:rPr>
          <w:sz w:val="20"/>
          <w:szCs w:val="20"/>
          <w:color w:val="auto"/>
        </w:rPr>
      </w:pPr>
      <w:r>
        <w:rPr>
          <w:rFonts w:ascii="Arial" w:cs="Arial" w:eastAsia="Arial" w:hAnsi="Arial"/>
          <w:sz w:val="17"/>
          <w:szCs w:val="17"/>
          <w:color w:val="auto"/>
        </w:rPr>
        <w:t>The F508del mutation occurs in the NBD1 domain near an interface with the fourth intracellular loop, ICL4, which is particularly critical to the folding of CFTR. When the ICL4 interface is disrupted, as it is by the F508del mutation, CFTR can neither fold nor function properly. The F508del mutation severely destabilizes CFTR’s NBD1 domain, preventing normal folding and trafficking of CFTR to a cell’s surface and impairing chloride channel function. Support for NBD1 as a key target is based in part on in vitro studies that introduced mutations at other sites on NBD1 that suppressed the effect of the F508del mutation.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Unmet Need and Market Opportunity</w:t>
      </w:r>
    </w:p>
    <w:p>
      <w:pPr>
        <w:spacing w:after="0" w:line="120" w:lineRule="exact"/>
        <w:rPr>
          <w:sz w:val="20"/>
          <w:szCs w:val="20"/>
          <w:color w:val="auto"/>
        </w:rPr>
      </w:pPr>
    </w:p>
    <w:p>
      <w:pPr>
        <w:ind w:right="60" w:firstLine="627"/>
        <w:spacing w:after="0" w:line="266" w:lineRule="auto"/>
        <w:rPr>
          <w:sz w:val="20"/>
          <w:szCs w:val="20"/>
          <w:color w:val="auto"/>
        </w:rPr>
      </w:pPr>
      <w:r>
        <w:rPr>
          <w:rFonts w:ascii="Arial" w:cs="Arial" w:eastAsia="Arial" w:hAnsi="Arial"/>
          <w:sz w:val="17"/>
          <w:szCs w:val="17"/>
          <w:color w:val="auto"/>
        </w:rPr>
        <w:t>While advances in the treatment of CF have improved the lives of people with the disease and resulted in a large commercial market, we believe significant opportunity remains to provide clinically meaningful benefit to people with CF through the development of NBD1-anchored treatments. NBD1 has long been considered an important target to normalize CFTR function because it is the site where the F508del mutation— the most common mutation that causes CF—occurs. However, attempts by others to stabilize NBD1 have fallen short, leading to the view that NBD1 is “undruggable.” The current standard of care for CF, Trikafta, and Alyftrek, which</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was approved in December 2024, are each made up of three components that target certain domains of CFTR, but not NBD1.</w:t>
      </w:r>
    </w:p>
    <w:p>
      <w:pPr>
        <w:spacing w:after="0" w:line="22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At least two-thirds of patients on Trikafta do not have normal CFTR function, defined as sweat chloride levels below 30 mmol/L. Even treated CF patients can continue to experience the ongoing effects of reduced CFTR function over time, including respiratory infections, pulmonary exacerbations, or “lung attacks,” and continued lung function decline. More than 6,000 patients have discontinued use of approved CFTR modulators, none of which target NBD1. Additionally, some patients on Trikafta reduce dosages due to tolerability issues, including elevated liver function tests and mental health effects such as mood disturbances, depression, and mental fogginess. In December 2024, the Trikafta label was updated to include a boxed warning for the risks of drug-induced liver injury and liver failure, and the Alyftrek label includes the same boxed warning. Seven to eight percent of patients on Trikafta have experienced significant mental health effects, and depression, including suicidal ideation and attempt, is listed in the warnings and precautions section of the summary of product characteristics for Kaftrio, the brand name for Trikafta in Europe. Patients who discontinue use of Trikafta or experience tolerability challenges have limited or no alternative treatments available to improve their clinical outcomes or quality of life.</w:t>
      </w:r>
    </w:p>
    <w:p>
      <w:pPr>
        <w:spacing w:after="0" w:line="172" w:lineRule="exact"/>
        <w:rPr>
          <w:sz w:val="20"/>
          <w:szCs w:val="20"/>
          <w:color w:val="auto"/>
        </w:rPr>
      </w:pPr>
    </w:p>
    <w:p>
      <w:pPr>
        <w:ind w:right="20" w:firstLine="627"/>
        <w:spacing w:after="0" w:line="251" w:lineRule="auto"/>
        <w:rPr>
          <w:sz w:val="20"/>
          <w:szCs w:val="20"/>
          <w:color w:val="auto"/>
        </w:rPr>
      </w:pPr>
      <w:r>
        <w:rPr>
          <w:rFonts w:ascii="Arial" w:cs="Arial" w:eastAsia="Arial" w:hAnsi="Arial"/>
          <w:sz w:val="17"/>
          <w:szCs w:val="17"/>
          <w:color w:val="auto"/>
        </w:rPr>
        <w:t>Current treatment alternatives for these patients are limited to less efficacious combination products that include one or more components of Trikafta, or Alyftrek. In two Phase 3 clinical trials, Alyftrek demonstrated non-inferiority to Trikafta in the primary endpoint, providing participants with similar FEV</w:t>
      </w:r>
      <w:r>
        <w:rPr>
          <w:rFonts w:ascii="Arial" w:cs="Arial" w:eastAsia="Arial" w:hAnsi="Arial"/>
          <w:sz w:val="22"/>
          <w:szCs w:val="22"/>
          <w:color w:val="auto"/>
          <w:vertAlign w:val="subscript"/>
        </w:rPr>
        <w:t>1</w:t>
      </w:r>
      <w:r>
        <w:rPr>
          <w:rFonts w:ascii="Arial" w:cs="Arial" w:eastAsia="Arial" w:hAnsi="Arial"/>
          <w:sz w:val="17"/>
          <w:szCs w:val="17"/>
          <w:color w:val="auto"/>
        </w:rPr>
        <w:t xml:space="preserve"> to Trikafta and sweat chloride level improvements of approximately 3 to 8 mmol/L. In participants who were homozygous for the F508del mutation, the sweat chloride improvement observed was approximately 3 mmol/L. Across both trials, approximately 69% of Alyftrek patients did not achieve normal CFTR function. Our research with key opinion leaders has indicated the desire for more treatment options for people with CF, particularly in support of a new mechanism of action that could provide clinically meaningful benefit or an alternative for those patients who experience tolerability issues on Trikafta.</w:t>
      </w:r>
    </w:p>
    <w:p>
      <w:pPr>
        <w:spacing w:after="0" w:line="180" w:lineRule="exact"/>
        <w:rPr>
          <w:sz w:val="20"/>
          <w:szCs w:val="20"/>
          <w:color w:val="auto"/>
        </w:rPr>
      </w:pPr>
    </w:p>
    <w:p>
      <w:pPr>
        <w:ind w:firstLine="627"/>
        <w:spacing w:after="0" w:line="268" w:lineRule="auto"/>
        <w:rPr>
          <w:sz w:val="20"/>
          <w:szCs w:val="20"/>
          <w:color w:val="auto"/>
        </w:rPr>
      </w:pPr>
      <w:r>
        <w:rPr>
          <w:rFonts w:ascii="Arial" w:cs="Arial" w:eastAsia="Arial" w:hAnsi="Arial"/>
          <w:sz w:val="17"/>
          <w:szCs w:val="17"/>
          <w:color w:val="auto"/>
        </w:rPr>
        <w:t>Worldwide revenue for approved CFTR modulators was approximately $12 billion in 2025, and it is expected to grow to over $15 billion by 2030. CF screening of newborn infants has served to identify CF patients as early as possible in their lives. For example, newborn screening for CF has been required in the U.S. since 2010, and in 2024, 55.8% of newly diagnosed people with CF in the U.S. were identified by newborn screening, based on CFF registry data. The availability of CFTR modulators has also increased the use of genetic testing to determine eligibility for treatment.</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Standard of Care and its Limitations</w:t>
      </w:r>
    </w:p>
    <w:p>
      <w:pPr>
        <w:spacing w:after="0" w:line="118"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The approved CFTR modulators are oral small molecule therapies that improve CFTR function either by potentiating channel gating or by improving cellular processing and trafficking of the CFTR protein. The current standard of care for people with the F508del mutation is a triple combination product marketed by Vertex as Trikafta (elexacaftor, tezacaftor, ivacaftor and ivacaftor). In addition, in December 2024, Vertex received approval from the U.S. Food and Drug Administration (“FDA”) for a second-generation, triple modulator combination, Alyftrek, for the treatment of CF in patients who have at least one F508del mutation or another responsive mutation in the CFTR gene. Vertex also markets three other approved CFTR modulators. None of the approved modulators directly stabilize NBD1.</w:t>
      </w:r>
    </w:p>
    <w:p>
      <w:pPr>
        <w:spacing w:after="0" w:line="172" w:lineRule="exact"/>
        <w:rPr>
          <w:sz w:val="20"/>
          <w:szCs w:val="20"/>
          <w:color w:val="auto"/>
        </w:rPr>
      </w:pPr>
    </w:p>
    <w:p>
      <w:pPr>
        <w:ind w:right="60" w:firstLine="627"/>
        <w:spacing w:after="0" w:line="252" w:lineRule="auto"/>
        <w:rPr>
          <w:sz w:val="20"/>
          <w:szCs w:val="20"/>
          <w:color w:val="auto"/>
        </w:rPr>
      </w:pPr>
      <w:r>
        <w:rPr>
          <w:rFonts w:ascii="Arial" w:cs="Arial" w:eastAsia="Arial" w:hAnsi="Arial"/>
          <w:sz w:val="17"/>
          <w:szCs w:val="17"/>
          <w:color w:val="auto"/>
        </w:rPr>
        <w:t>Despite the clinical benefits Trikafta provides CF patients, including improved lung function and quality of life, at least two-thirds of people with CF being treated on Trikafta or another approved CFTR modulator do not have normal CFTR function. CF progression is most commonly assessed through a patient’s mean lung function, as measured by FEV</w:t>
      </w:r>
      <w:r>
        <w:rPr>
          <w:rFonts w:ascii="Arial" w:cs="Arial" w:eastAsia="Arial" w:hAnsi="Arial"/>
          <w:sz w:val="22"/>
          <w:szCs w:val="22"/>
          <w:color w:val="auto"/>
          <w:vertAlign w:val="subscript"/>
        </w:rPr>
        <w:t>1</w:t>
      </w:r>
      <w:r>
        <w:rPr>
          <w:rFonts w:ascii="Arial" w:cs="Arial" w:eastAsia="Arial" w:hAnsi="Arial"/>
          <w:sz w:val="17"/>
          <w:szCs w:val="17"/>
          <w:color w:val="auto"/>
        </w:rPr>
        <w:t xml:space="preserve"> improvement. In addition, sweat chloride level, the clinical biomarker of CFTR function, has been used for decades as a diagnostic test for CF and has served as a highly useful tool in the development of approved CFTR modulators. A sweat chloride level greater than or equal to 60mmol/L indicates that CF is likely, while a sweat chloride level under 30 mmol/L is normal and indicates that CF is unlikely. Sweat chloride levels between 30 mmol/L and 59 mmol/L are considered abnormal, indicating partial CFTR dysfunction or “residual function” in diagnostic settings. An observational study of 3,131 individuals with CF from the CFF Registry found that, while treatment with Trikafta resulted in improvements in sweat chloride level to below 60 mmol/L in most patients, two-thirds of patients still had sweat chloride levels above normal levels (Figure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732790</wp:posOffset>
            </wp:positionV>
            <wp:extent cx="5470525" cy="3448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70525" cy="344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80" w:right="60" w:hanging="514"/>
        <w:spacing w:after="0" w:line="298" w:lineRule="auto"/>
        <w:rPr>
          <w:sz w:val="20"/>
          <w:szCs w:val="20"/>
          <w:color w:val="auto"/>
        </w:rPr>
      </w:pPr>
      <w:r>
        <w:rPr>
          <w:rFonts w:ascii="Arial" w:cs="Arial" w:eastAsia="Arial" w:hAnsi="Arial"/>
          <w:sz w:val="17"/>
          <w:szCs w:val="17"/>
          <w:i w:val="1"/>
          <w:iCs w:val="1"/>
          <w:color w:val="auto"/>
        </w:rPr>
        <w:t>(Figure 7. Sweat chloride levels less than or equal to 29 mmol/L indicate that CF is unlikely; levels of 30 - 59 mmol/L indicate that CF is possible and additional testing is needed; and levels greater than or equal to 60 mmol/L indicate that CF is likely.)</w:t>
      </w:r>
    </w:p>
    <w:p>
      <w:pPr>
        <w:spacing w:after="0" w:line="141"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Two-year interim data from a five-year post-marketing real-world observational trial of patients taking Trikafta showed that mean rates of pulmonary exacerbations and the presence of bacterial pathogens improved but were not normalized after initiating treatment on Trikafta. The three-year interim data, presented at the European CF Society meeting in Glasgow in 2024, showed numerical increases in mean rates of pulmonary exacerbations and decreases in mean lung function compared to the two-year interim data, supporting the opportunity for clinical improvements over the standard of care. In addition to continued pulmonary complications, patients also experienced negative mental health side effects, including numerical increases in rates of depression, anxiety disorder and hypertension after initiating treatment on Trikafta. Another side effect associated with ivacaftor (a component of Trikafta) is cataracts, which can complicate use and requires monitoring, especially in children. In addition, both the Trikafta and Alyftrek labels include a boxed warning for the risks of drug-induced liver injury and liver failure.</w:t>
      </w:r>
    </w:p>
    <w:p>
      <w:pPr>
        <w:spacing w:after="0" w:line="106" w:lineRule="exact"/>
        <w:rPr>
          <w:sz w:val="20"/>
          <w:szCs w:val="20"/>
          <w:color w:val="auto"/>
        </w:rPr>
      </w:pPr>
    </w:p>
    <w:p>
      <w:pPr>
        <w:ind w:right="120" w:firstLine="627"/>
        <w:spacing w:after="0" w:line="267" w:lineRule="auto"/>
        <w:rPr>
          <w:sz w:val="20"/>
          <w:szCs w:val="20"/>
          <w:color w:val="auto"/>
        </w:rPr>
      </w:pPr>
      <w:r>
        <w:rPr>
          <w:rFonts w:ascii="Arial" w:cs="Arial" w:eastAsia="Arial" w:hAnsi="Arial"/>
          <w:sz w:val="17"/>
          <w:szCs w:val="17"/>
          <w:color w:val="auto"/>
        </w:rPr>
        <w:t>Alyftrek demonstrated non-inferiority to Trikafta in the primary endpoint of two Phase 3 clinical trials, providing patients with similar FEV</w:t>
      </w:r>
      <w:r>
        <w:rPr>
          <w:rFonts w:ascii="Arial" w:cs="Arial" w:eastAsia="Arial" w:hAnsi="Arial"/>
          <w:sz w:val="22"/>
          <w:szCs w:val="22"/>
          <w:color w:val="auto"/>
          <w:vertAlign w:val="subscript"/>
        </w:rPr>
        <w:t>1</w:t>
      </w:r>
      <w:r>
        <w:rPr>
          <w:rFonts w:ascii="Arial" w:cs="Arial" w:eastAsia="Arial" w:hAnsi="Arial"/>
          <w:sz w:val="17"/>
          <w:szCs w:val="17"/>
          <w:color w:val="auto"/>
        </w:rPr>
        <w:t xml:space="preserve"> as Trikafta and sweat chloride level improvements of approximately 3 to 8 mmol/L. In participants who were homozygous for the F508del mutation, the sweat chloride improvement observed was approximately 3 mmol/L. Across both trials, approximately 69% of Alyftrek patients did not achieve normal CFTR function. These results support our beliefs that NBD1 stabilization is required to meaningfully improve upon the standard of care and that a high unmet need remains for an alternative therapy that can provide clinically meaningful benefit to CF patients.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Findings Support NBD1 as a Key Target for Stabilizing F508del-CFTR</w:t>
      </w:r>
    </w:p>
    <w:p>
      <w:pPr>
        <w:spacing w:after="0" w:line="222" w:lineRule="exact"/>
        <w:rPr>
          <w:sz w:val="20"/>
          <w:szCs w:val="20"/>
          <w:color w:val="auto"/>
        </w:rPr>
      </w:pPr>
    </w:p>
    <w:p>
      <w:pPr>
        <w:ind w:right="20" w:firstLine="627"/>
        <w:spacing w:after="0" w:line="277" w:lineRule="auto"/>
        <w:rPr>
          <w:sz w:val="20"/>
          <w:szCs w:val="20"/>
          <w:color w:val="auto"/>
        </w:rPr>
      </w:pPr>
      <w:r>
        <w:rPr>
          <w:rFonts w:ascii="Arial" w:cs="Arial" w:eastAsia="Arial" w:hAnsi="Arial"/>
          <w:sz w:val="17"/>
          <w:szCs w:val="17"/>
          <w:color w:val="auto"/>
        </w:rPr>
        <w:t>Multiple studies by third parties have concluded that NBD1 is a key drug target for correcting the F508del mutation, including in vitro studies that introduced mutations at other sites on NBD1 that suppressed the effect of the F508del mutation. For example, researchers at Utrecht University and University of Texas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Southwestern Medical Center identified a second site NBD1 mutation (“I539T”) that rescued the misfolding and instability of F508del-CFTR. They concluded the “co-translational rescue of F508del NBD1 misfolding in CFTR by I539T advocates this domain as the most important drug target for cystic fibrosis.”</w:t>
      </w:r>
    </w:p>
    <w:p>
      <w:pPr>
        <w:spacing w:after="0" w:line="159" w:lineRule="exact"/>
        <w:rPr>
          <w:sz w:val="20"/>
          <w:szCs w:val="20"/>
          <w:color w:val="auto"/>
        </w:rPr>
      </w:pPr>
    </w:p>
    <w:p>
      <w:pPr>
        <w:ind w:right="240" w:firstLine="627"/>
        <w:spacing w:after="0" w:line="263" w:lineRule="auto"/>
        <w:rPr>
          <w:sz w:val="20"/>
          <w:szCs w:val="20"/>
          <w:color w:val="auto"/>
        </w:rPr>
      </w:pPr>
      <w:r>
        <w:rPr>
          <w:rFonts w:ascii="Arial" w:cs="Arial" w:eastAsia="Arial" w:hAnsi="Arial"/>
          <w:sz w:val="17"/>
          <w:szCs w:val="17"/>
          <w:color w:val="auto"/>
        </w:rPr>
        <w:t>At University of Texas Southwestern Medical Center, University of Alabama Birmingham, and McGill University, a second group of researchers identified additional mutations that suppressed the effect of F508del and which, in in vitro studies, stabilized NBD1 and the NBD1-ICL4 interface and fully restored F508del-CFTR maturation and function to wild-type levels, as shown in the western blot in Figure 8. A western blot is an assay that uses gel electrophoresis to separate a mixture of proteins, which are then transferred to a solid membrane, and then an antibody is used to detect a specific protein in the sample. The mature apical CFTR band is seen with wild-type CFTR. Partial restoration is observed with NBD1 stabilization and ICL4 interface restoration individually; full restoration of CFTR function occurred in the presence of both NBD1 and ICL4 suppressor mutations. Without a suppressor mutation, no F508del-CFTR is produced (Ø).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119380</wp:posOffset>
            </wp:positionV>
            <wp:extent cx="3415030" cy="1268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15030" cy="1268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 xml:space="preserve">(Figure 8. </w:t>
      </w:r>
      <w:r>
        <w:rPr>
          <w:rFonts w:ascii="Arial" w:cs="Arial" w:eastAsia="Arial" w:hAnsi="Arial"/>
          <w:sz w:val="17"/>
          <w:szCs w:val="17"/>
          <w:b w:val="1"/>
          <w:bCs w:val="1"/>
          <w:color w:val="auto"/>
        </w:rPr>
        <w:t>Source:</w:t>
      </w:r>
      <w:r>
        <w:rPr>
          <w:rFonts w:ascii="Arial" w:cs="Arial" w:eastAsia="Arial" w:hAnsi="Arial"/>
          <w:sz w:val="17"/>
          <w:szCs w:val="17"/>
          <w:i w:val="1"/>
          <w:iCs w:val="1"/>
          <w:color w:val="auto"/>
        </w:rPr>
        <w:t xml:space="preserve"> </w:t>
      </w:r>
      <w:r>
        <w:rPr>
          <w:rFonts w:ascii="Arial" w:cs="Arial" w:eastAsia="Arial" w:hAnsi="Arial"/>
          <w:sz w:val="17"/>
          <w:szCs w:val="17"/>
          <w:color w:val="auto"/>
        </w:rPr>
        <w:t>Thibodeau, 2010)</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Findings Link Further Improvements in CFTR Function to Improved Clinical Outcomes</w:t>
      </w:r>
    </w:p>
    <w:p>
      <w:pPr>
        <w:spacing w:after="0" w:line="222" w:lineRule="exact"/>
        <w:rPr>
          <w:sz w:val="20"/>
          <w:szCs w:val="20"/>
          <w:color w:val="auto"/>
        </w:rPr>
      </w:pPr>
    </w:p>
    <w:p>
      <w:pPr>
        <w:ind w:right="20" w:firstLine="627"/>
        <w:spacing w:after="0" w:line="243" w:lineRule="auto"/>
        <w:rPr>
          <w:sz w:val="20"/>
          <w:szCs w:val="20"/>
          <w:color w:val="auto"/>
        </w:rPr>
      </w:pPr>
      <w:r>
        <w:rPr>
          <w:rFonts w:ascii="Arial" w:cs="Arial" w:eastAsia="Arial" w:hAnsi="Arial"/>
          <w:sz w:val="17"/>
          <w:szCs w:val="17"/>
          <w:color w:val="auto"/>
        </w:rPr>
        <w:t>Clinical evidence obtained by third parties has illustrated that further reductions in sweat chloride, the clinical biomarker of CFTR function, towards wild-type levels, are associated with improved clinical outcomes, even for patients who have already experienced some benefits from an approved modulator therapy. According to a trial published in the New England Journal of Medicine, when CF patients heterozygous for F508del and a “gating” mutation were switched from Kalydeco, which does not target F508del, to Trikafta, which targets F508del, they experienced significant improvements in CFTR function, as measured by improvements in the mean sweat chloride levels, and in mean lung function, as measured by FEV</w:t>
      </w:r>
      <w:r>
        <w:rPr>
          <w:rFonts w:ascii="Arial" w:cs="Arial" w:eastAsia="Arial" w:hAnsi="Arial"/>
          <w:sz w:val="22"/>
          <w:szCs w:val="22"/>
          <w:color w:val="auto"/>
          <w:vertAlign w:val="subscript"/>
        </w:rPr>
        <w:t>1</w:t>
      </w:r>
      <w:r>
        <w:rPr>
          <w:rFonts w:ascii="Arial" w:cs="Arial" w:eastAsia="Arial" w:hAnsi="Arial"/>
          <w:sz w:val="17"/>
          <w:szCs w:val="17"/>
          <w:color w:val="auto"/>
        </w:rPr>
        <w:t>. Patients with a gating mutation represent approximately 6% of the CF patient population. Their mean sweat chloride level at baseline was 50.9 mmol/L. After eight weeks of treatment with Trikafta, the patients’ mean sweat chloride level was 32.7 mmol/L, representing an improvement of approximately 20 mmol/L, and their mean lung function level, as measured by FEV</w:t>
      </w:r>
      <w:r>
        <w:rPr>
          <w:rFonts w:ascii="Arial" w:cs="Arial" w:eastAsia="Arial" w:hAnsi="Arial"/>
          <w:sz w:val="22"/>
          <w:szCs w:val="22"/>
          <w:color w:val="auto"/>
          <w:vertAlign w:val="subscript"/>
        </w:rPr>
        <w:t>1</w:t>
      </w:r>
      <w:r>
        <w:rPr>
          <w:rFonts w:ascii="Arial" w:cs="Arial" w:eastAsia="Arial" w:hAnsi="Arial"/>
          <w:sz w:val="17"/>
          <w:szCs w:val="17"/>
          <w:color w:val="auto"/>
        </w:rPr>
        <w:t>, improved by 5.8 percentage points.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Approach and Leveraging the CFHBE Model</w:t>
      </w:r>
    </w:p>
    <w:p>
      <w:pPr>
        <w:spacing w:after="0" w:line="120" w:lineRule="exact"/>
        <w:rPr>
          <w:sz w:val="20"/>
          <w:szCs w:val="20"/>
          <w:color w:val="auto"/>
        </w:rPr>
      </w:pPr>
    </w:p>
    <w:p>
      <w:pPr>
        <w:ind w:right="80" w:firstLine="627"/>
        <w:spacing w:after="0" w:line="252" w:lineRule="auto"/>
        <w:rPr>
          <w:sz w:val="20"/>
          <w:szCs w:val="20"/>
          <w:color w:val="auto"/>
        </w:rPr>
      </w:pPr>
      <w:r>
        <w:rPr>
          <w:rFonts w:ascii="Arial" w:cs="Arial" w:eastAsia="Arial" w:hAnsi="Arial"/>
          <w:sz w:val="17"/>
          <w:szCs w:val="17"/>
          <w:color w:val="auto"/>
        </w:rPr>
        <w:t>Our programs leverage an industry standard, clinically predictive CFHBE model to measure CFTR protein function in vitro. The CFHBE model uses lung cells from people with CF and has been highly predictive of clinical outcomes for approved CFTR modulators. Activity in the CFHBE model has been shown to be correlated to chloride transport activity, which in turn, has been shown to be correlated to improved lung function in clinical trials designed to evaluate product candidates in CF patients. We have used, and plan to continue to use, insights from the CFHBE model to identify active compounds, predict potential clinical exposures, and inform critical pipeline prioritization and development decisions. For example, we selected SION-719 and SION-451 to advance based on their preclinical profiles, including potency in the CFHBE model. In preclinical studies using the CFHBE model, we evaluated our NBD1 stabilizers in several combinations (including SION-719 with the components of Trikafta (elexacaftor/tezacaftor/ivacaftor, or “ETI”), and SION-451 with each of SION-2222 and SION-109) in direct comparison to ETI alone, with all compounds at their respective highest effective dose (“E</w:t>
      </w:r>
      <w:r>
        <w:rPr>
          <w:rFonts w:ascii="Arial" w:cs="Arial" w:eastAsia="Arial" w:hAnsi="Arial"/>
          <w:sz w:val="22"/>
          <w:szCs w:val="22"/>
          <w:color w:val="auto"/>
          <w:vertAlign w:val="subscript"/>
        </w:rPr>
        <w:t>max</w:t>
      </w:r>
      <w:r>
        <w:rPr>
          <w:rFonts w:ascii="Arial" w:cs="Arial" w:eastAsia="Arial" w:hAnsi="Arial"/>
          <w:sz w:val="17"/>
          <w:szCs w:val="17"/>
          <w:color w:val="auto"/>
        </w:rPr>
        <w:t>”), and observed a marked improvement in CFTR protein activity of more than 1.5-fold relative to ETI alone. We believe that we can leverage the reproducible correlation between chloride transport at different drug exposure levels in the CFHBE model and clinical outcomes to predict the target level of exposure to achieve clinically meaningful benefit in CF patients.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firstLine="627"/>
        <w:spacing w:after="0" w:line="266" w:lineRule="auto"/>
        <w:rPr>
          <w:sz w:val="20"/>
          <w:szCs w:val="20"/>
          <w:color w:val="auto"/>
        </w:rPr>
      </w:pPr>
      <w:r>
        <w:rPr>
          <w:rFonts w:ascii="Arial" w:cs="Arial" w:eastAsia="Arial" w:hAnsi="Arial"/>
          <w:sz w:val="17"/>
          <w:szCs w:val="17"/>
          <w:color w:val="auto"/>
        </w:rPr>
        <w:t>The CFHBE model uses electrophysiology to evaluate CFTR function by measuring CFTR protein activity in an Ussing Chamber, which is commonly used in CF drug discovery efforts. In this model, human bronchial cells derived from the lungs of CF patients are cultured in a manner to resemble the lung epithelium and to increase their numbers. These cultured cells are then placed in the Ussing Chamber, which uses electrodes to measure ion movement across the membranes of the cultured epithelial cells grown into a monolayer with tight junctions. Cultured CFHBE cells exhibit many of the structural and functional attributes believed to be associated with CF airway disease.</w:t>
      </w:r>
    </w:p>
    <w:p>
      <w:pPr>
        <w:spacing w:after="0" w:line="170"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Vertex has successfully applied a variation of the CFHBE model with 20% human serum for multiple CFTR modulators advanced to clinical trials, including their five approved modulators, and has demonstrated that increased chloride transport in the CFHBE model is strongly correlated with improved CFTR function in CF patients. Importantly, the CFHBE model provided key preclinical data on CFTR function to support the clinical evaluation of elexacaftor as part of Trikafta. Based on publications detailing Vertex’s use of the CFHBE model, we believe we conducted our CFHBE model using similar methods and under similar experimental conditions to those Vertex employed. Similar to Vertex, in our model, cell culture media is supplemented with human serum to 20% by volume to estimate the amount of free drug available to engage CFTR in CFHBE cells. This adjustment is designed to simulate the in vivo environment, where much of a drug is bound to serum proteins and not available to enter epithelial cells.</w:t>
      </w:r>
    </w:p>
    <w:p>
      <w:pPr>
        <w:spacing w:after="0" w:line="173" w:lineRule="exact"/>
        <w:rPr>
          <w:sz w:val="20"/>
          <w:szCs w:val="20"/>
          <w:color w:val="auto"/>
        </w:rPr>
      </w:pPr>
    </w:p>
    <w:p>
      <w:pPr>
        <w:ind w:right="40" w:firstLine="627"/>
        <w:spacing w:after="0" w:line="261" w:lineRule="auto"/>
        <w:rPr>
          <w:sz w:val="20"/>
          <w:szCs w:val="20"/>
          <w:color w:val="auto"/>
        </w:rPr>
      </w:pPr>
      <w:r>
        <w:rPr>
          <w:rFonts w:ascii="Arial" w:cs="Arial" w:eastAsia="Arial" w:hAnsi="Arial"/>
          <w:sz w:val="17"/>
          <w:szCs w:val="17"/>
          <w:color w:val="auto"/>
        </w:rPr>
        <w:t>We conduct detailed dose-response studies in our CFHBE model to estimate the level of clinical improvement we believe we can achieve with our modulators at specific levels of drug exposure in clinical trials. The addition of human serum helps correct for the high levels of protein binding that are characteristic of our modulators, similar to approved modulators, which we believe enables our model to more accurately predict the clinical exposure required for efficacy. Our CFHBE model accurately predicted the required total plasma concentration of lumacaftor (a component of Orkambi) at its efficacious clinical exposures, as shown in Figure 9 below. We compared lumacaftor’s CFTR-dependent chloride transport activity in two CFHBE model variants—with 20% human serum (like our model) and without 20% human serum—and benchmarked these against published Phase 2 clinical results regarding sweat chloride levels for lumacaftor. Figure 9 shows that the predicted lumacaftor dose response, as depicted by the red line, closely matched lumacaftor’s clinical dose response, as depicted by the black line. The CFHBE model without 20% human serum, depicted by the blue line, failed to accurately predict the clinical exposure of lumacaftor required for efficacy, even if adjusted for lumacaftor’s measured free fraction in human plasma, depicted by the dotted green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119380</wp:posOffset>
            </wp:positionV>
            <wp:extent cx="5470525" cy="2196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70525" cy="219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Figure 9</w:t>
      </w:r>
    </w:p>
    <w:p>
      <w:pPr>
        <w:spacing w:after="0" w:line="222" w:lineRule="exact"/>
        <w:rPr>
          <w:sz w:val="20"/>
          <w:szCs w:val="20"/>
          <w:color w:val="auto"/>
        </w:rPr>
      </w:pPr>
    </w:p>
    <w:p>
      <w:pPr>
        <w:ind w:right="160" w:firstLine="627"/>
        <w:spacing w:after="0" w:line="277" w:lineRule="auto"/>
        <w:rPr>
          <w:sz w:val="20"/>
          <w:szCs w:val="20"/>
          <w:color w:val="auto"/>
        </w:rPr>
      </w:pPr>
      <w:r>
        <w:rPr>
          <w:rFonts w:ascii="Arial" w:cs="Arial" w:eastAsia="Arial" w:hAnsi="Arial"/>
          <w:sz w:val="17"/>
          <w:szCs w:val="17"/>
          <w:color w:val="auto"/>
        </w:rPr>
        <w:t>Using published data from the clinical trials of Vertex’s approved CFTR modulators, we have validated internally our CFHBE model by assessing the relationship between in vitro CFTR protein function, as measured by chloride transport in our CFHBE model, and the mean sweat chloride levels seen in Vertex’s clinical trials of these approved modulators.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As shown in Figure 10 below, improvements in CFTR function we observed in our CFHBE model for approved and investigational CFTR modulators have been highly correlated with improvements in sweat chloride measurements from clinical trials for these therapies. Notably, we have used the CFHBE model to predict negative clinical trial outcomes, too. For example, we modeled other third-party modulators previously in development and independently determined that these compounds had insufficient activity to demonstrate target clinical efficacy, which was supported by published clinical trial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118745</wp:posOffset>
            </wp:positionV>
            <wp:extent cx="3978910" cy="2619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7891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Figure 10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627"/>
        <w:spacing w:after="0" w:line="237" w:lineRule="auto"/>
        <w:rPr>
          <w:sz w:val="20"/>
          <w:szCs w:val="20"/>
          <w:color w:val="auto"/>
        </w:rPr>
      </w:pPr>
      <w:r>
        <w:rPr>
          <w:rFonts w:ascii="Arial" w:cs="Arial" w:eastAsia="Arial" w:hAnsi="Arial"/>
          <w:sz w:val="17"/>
          <w:szCs w:val="17"/>
          <w:color w:val="auto"/>
        </w:rPr>
        <w:t>Mean improvements in sweat chloride levels in clinical trials have been shown to be correlated with mean improvements in lung function as measured by FEV</w:t>
      </w:r>
      <w:r>
        <w:rPr>
          <w:rFonts w:ascii="Arial" w:cs="Arial" w:eastAsia="Arial" w:hAnsi="Arial"/>
          <w:sz w:val="22"/>
          <w:szCs w:val="22"/>
          <w:color w:val="auto"/>
          <w:vertAlign w:val="subscript"/>
        </w:rPr>
        <w:t>1</w:t>
      </w:r>
      <w:r>
        <w:rPr>
          <w:rFonts w:ascii="Arial" w:cs="Arial" w:eastAsia="Arial" w:hAnsi="Arial"/>
          <w:sz w:val="17"/>
          <w:szCs w:val="17"/>
          <w:color w:val="auto"/>
        </w:rPr>
        <w:t>, as shown in Figure 11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127635</wp:posOffset>
            </wp:positionV>
            <wp:extent cx="3978910" cy="2876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78910" cy="287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Figure 11</w:t>
      </w:r>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80" w:firstLine="627"/>
        <w:spacing w:after="0" w:line="270" w:lineRule="auto"/>
        <w:rPr>
          <w:sz w:val="20"/>
          <w:szCs w:val="20"/>
          <w:color w:val="auto"/>
        </w:rPr>
      </w:pPr>
      <w:r>
        <w:rPr>
          <w:rFonts w:ascii="Arial" w:cs="Arial" w:eastAsia="Arial" w:hAnsi="Arial"/>
          <w:sz w:val="17"/>
          <w:szCs w:val="17"/>
          <w:color w:val="auto"/>
        </w:rPr>
        <w:t>We consider our CFHBE model a translational roadmap because of its ability to correlate with sweat chloride improvement in clinical trials, as seen in Figure 10 above, which in turn has been shown to correlate to improved lung function in clinical trials, as shown in Figure 11 above. We have observed this correlation with our CFHBE data and clinical lung function data for approved and investigational CFTR modulators that demonstrated activity in clinical trials, including SION-2222 and SION-3067, as shown in Figure 12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114935</wp:posOffset>
            </wp:positionV>
            <wp:extent cx="3498215" cy="20059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9821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Figure 12</w:t>
      </w:r>
    </w:p>
    <w:p>
      <w:pPr>
        <w:spacing w:after="0" w:line="248"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We believe our CFHBE model allows us to predict the target exposure needed for our product candidates to achieve a desired level of clinical activity, such as the level of improvement in patients’ lung function, as measured by FEV</w:t>
      </w:r>
      <w:r>
        <w:rPr>
          <w:rFonts w:ascii="Arial" w:cs="Arial" w:eastAsia="Arial" w:hAnsi="Arial"/>
          <w:sz w:val="11"/>
          <w:szCs w:val="11"/>
          <w:color w:val="auto"/>
        </w:rPr>
        <w:t>1</w:t>
      </w:r>
      <w:r>
        <w:rPr>
          <w:rFonts w:ascii="Arial" w:cs="Arial" w:eastAsia="Arial" w:hAnsi="Arial"/>
          <w:sz w:val="17"/>
          <w:szCs w:val="17"/>
          <w:color w:val="auto"/>
        </w:rPr>
        <w:t xml:space="preserve"> improvement, and sweat chloride levels. We have tested our product candidates in the CFHBE model at E</w:t>
      </w:r>
      <w:r>
        <w:rPr>
          <w:rFonts w:ascii="Arial" w:cs="Arial" w:eastAsia="Arial" w:hAnsi="Arial"/>
          <w:sz w:val="11"/>
          <w:szCs w:val="11"/>
          <w:color w:val="auto"/>
        </w:rPr>
        <w:t>max</w:t>
      </w:r>
      <w:r>
        <w:rPr>
          <w:rFonts w:ascii="Arial" w:cs="Arial" w:eastAsia="Arial" w:hAnsi="Arial"/>
          <w:sz w:val="17"/>
          <w:szCs w:val="17"/>
          <w:color w:val="auto"/>
        </w:rPr>
        <w:t xml:space="preserve"> and generated a prediction of sweat chloride and FEV</w:t>
      </w:r>
      <w:r>
        <w:rPr>
          <w:rFonts w:ascii="Arial" w:cs="Arial" w:eastAsia="Arial" w:hAnsi="Arial"/>
          <w:sz w:val="11"/>
          <w:szCs w:val="11"/>
          <w:color w:val="auto"/>
        </w:rPr>
        <w:t>1</w:t>
      </w:r>
      <w:r>
        <w:rPr>
          <w:rFonts w:ascii="Arial" w:cs="Arial" w:eastAsia="Arial" w:hAnsi="Arial"/>
          <w:sz w:val="17"/>
          <w:szCs w:val="17"/>
          <w:color w:val="auto"/>
        </w:rPr>
        <w:t xml:space="preserve"> changes, based on the documented correlation, observed in clinical trials of approved and investigational modulators, between improvements in sweat chloride levels and improvements in lung function. We believe that the CFTR function improvement observed in our CFHBE model of our product candidates has the potential to translate clinically to deliver clinically meaningful benefit to CF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CF Programs</w:t>
      </w:r>
    </w:p>
    <w:p>
      <w:pPr>
        <w:spacing w:after="0" w:line="120" w:lineRule="exact"/>
        <w:rPr>
          <w:sz w:val="20"/>
          <w:szCs w:val="20"/>
          <w:color w:val="auto"/>
        </w:rPr>
      </w:pPr>
    </w:p>
    <w:p>
      <w:pPr>
        <w:ind w:right="200" w:firstLine="627"/>
        <w:spacing w:after="0" w:line="264" w:lineRule="auto"/>
        <w:rPr>
          <w:sz w:val="20"/>
          <w:szCs w:val="20"/>
          <w:color w:val="auto"/>
        </w:rPr>
      </w:pPr>
      <w:r>
        <w:rPr>
          <w:rFonts w:ascii="Arial" w:cs="Arial" w:eastAsia="Arial" w:hAnsi="Arial"/>
          <w:sz w:val="17"/>
          <w:szCs w:val="17"/>
          <w:color w:val="auto"/>
        </w:rPr>
        <w:t>We have a portfolio of NBD1 stabilizers and complementary modulators that target other regions of the CFTR protein, with the goal of advancing a combination therapy that has the potential to deliver clinically meaningful benefit to CF patients. We believe our robust pipeline provides multiple potential pathways to achieve our goal, either through development of an NBD1 stabilizer and a complementary modulator in combination with each other to produce a proprietary dual combination, or an NBD1 stabilizer administered in combination with the standard of care for CF. Leveraging the differentiated profiles of our two lead NBD1 stabilizer product candidates observed in their respective Phase 1 trials, we have advanced both SION-451 and SION-719 to the next phase of development.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NBD1 Stabilizer Program</w:t>
      </w:r>
    </w:p>
    <w:p>
      <w:pPr>
        <w:spacing w:after="0" w:line="118" w:lineRule="exact"/>
        <w:rPr>
          <w:sz w:val="20"/>
          <w:szCs w:val="20"/>
          <w:color w:val="auto"/>
        </w:rPr>
      </w:pPr>
    </w:p>
    <w:p>
      <w:pPr>
        <w:ind w:right="60" w:firstLine="627"/>
        <w:spacing w:after="0" w:line="266" w:lineRule="auto"/>
        <w:rPr>
          <w:sz w:val="20"/>
          <w:szCs w:val="20"/>
          <w:color w:val="auto"/>
        </w:rPr>
      </w:pPr>
      <w:r>
        <w:rPr>
          <w:rFonts w:ascii="Arial" w:cs="Arial" w:eastAsia="Arial" w:hAnsi="Arial"/>
          <w:sz w:val="17"/>
          <w:szCs w:val="17"/>
          <w:color w:val="auto"/>
        </w:rPr>
        <w:t>NBD1 is recognized as a key target in treating CF patients with the F508del mutation, as the mutation drives NBD1 instability and defects in its interface assembly. However, NBD1 has presented significant challenges as a drug target due to the attributes of the region’s binding sites. Our NBD1 program builds on more than a decade of our cofounders’ research, which has combined biophysical, cell-based and virtual screening campaigns, along with extensive use of structural biology. We believe the technical challenge associated with NBD1-targeted drug discovery, along with our intellectual property rights, represent a substantial competitive barrier.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SION-719 — Clinical Data</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Phase 2a PreciSION CF Trial</w:t>
      </w:r>
    </w:p>
    <w:p>
      <w:pPr>
        <w:spacing w:after="0" w:line="206" w:lineRule="exact"/>
        <w:rPr>
          <w:sz w:val="20"/>
          <w:szCs w:val="20"/>
          <w:color w:val="auto"/>
        </w:rPr>
      </w:pPr>
    </w:p>
    <w:p>
      <w:pPr>
        <w:ind w:right="40" w:firstLine="627"/>
        <w:spacing w:after="0" w:line="298" w:lineRule="auto"/>
        <w:rPr>
          <w:sz w:val="20"/>
          <w:szCs w:val="20"/>
          <w:color w:val="auto"/>
        </w:rPr>
      </w:pPr>
      <w:r>
        <w:rPr>
          <w:rFonts w:ascii="Arial" w:cs="Arial" w:eastAsia="Arial" w:hAnsi="Arial"/>
          <w:sz w:val="17"/>
          <w:szCs w:val="17"/>
          <w:color w:val="auto"/>
        </w:rPr>
        <w:t>In October 2025, we announced the initiation of our ongoing Phase 2a proof-of-concept trial in CF patients, called PreciSION CF, which is evaluating SION-719 when added to the current standard of care.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trial is designed to evaluate the safety, tolerability, and PK of SION-719 when administered with Trikafta, and to assess change in CFTR function as measured by sweat chloride levels. The trial is a two-way crossover trial anticipated to enroll approximately 16 participants with CF who are stable on physician-prescribed Trikafta. All participants will be randomly allocated to one of two trial arms and will continue taking Trikafta throughout the trial. Participants in “Arm A” will first receive Trikafta in combination with SION-719 for 14 days, and, after a 28-day washout period, will then receive Trikafta in combination with placebo for 14 days. Participants in “Arm B” receive the same treatments in reverse order, followed by a 28-day safety follow-up period. We expect topline data from the PreciSION CF trial in mid-2026.</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Phase 1 Single Agent Trial of SION-719</w:t>
      </w:r>
    </w:p>
    <w:p>
      <w:pPr>
        <w:spacing w:after="0" w:line="222" w:lineRule="exact"/>
        <w:rPr>
          <w:sz w:val="20"/>
          <w:szCs w:val="20"/>
          <w:color w:val="auto"/>
        </w:rPr>
      </w:pPr>
    </w:p>
    <w:p>
      <w:pPr>
        <w:jc w:val="both"/>
        <w:ind w:right="40" w:firstLine="627"/>
        <w:spacing w:after="0" w:line="270" w:lineRule="auto"/>
        <w:rPr>
          <w:sz w:val="20"/>
          <w:szCs w:val="20"/>
          <w:color w:val="auto"/>
        </w:rPr>
      </w:pPr>
      <w:r>
        <w:rPr>
          <w:rFonts w:ascii="Arial" w:cs="Arial" w:eastAsia="Arial" w:hAnsi="Arial"/>
          <w:sz w:val="17"/>
          <w:szCs w:val="17"/>
          <w:color w:val="auto"/>
        </w:rPr>
        <w:t>In June 2025, we announced positive topline data from a randomized, double blind, placebo-controlled Phase 1 clinical trial of SION-719 in healthy participants. The trial was designed to evaluate the safety, tolerability and PK profile of single and multiple ascending doses (“MAD”) of SION-719, administered as an oral suspension. In a Part C of the Phase 1 trial, we evaluated the effect of food on PK and the bioequivalence of a tablet formation compared to the oral suspension used in the Phase 1 SAD and MAD trials.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total of 100 healthy adult participants were dosed in this Phase 1 trial. The trial was designed to enroll eight participants, randomized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3:1 active:placebo, to each dosing cohort. SAD cohorts evaluated single doses ranging from 20 mg to 160 mg in a fasted state; 20 mg taken with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food was also evaluated in a SAD cohort to provide a preliminary assessment of the effect of food on PK. Five MAD cohorts evaluated doses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ranging from 20mg to 160mg dosed twice daily (“BID”) over ten dosing days. Twenty participants were dosed in the open-label food effect and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tablet bioequivalence part evaluating 30 mg and 120 mg single doses each of suspension (fasted), tablet (fasted), and tablet (fed).</w:t>
      </w:r>
    </w:p>
    <w:p>
      <w:pPr>
        <w:spacing w:after="0" w:line="206" w:lineRule="exact"/>
        <w:rPr>
          <w:sz w:val="20"/>
          <w:szCs w:val="20"/>
          <w:color w:val="auto"/>
        </w:rPr>
      </w:pPr>
    </w:p>
    <w:p>
      <w:pPr>
        <w:ind w:right="120" w:firstLine="627"/>
        <w:spacing w:after="0" w:line="264" w:lineRule="auto"/>
        <w:rPr>
          <w:sz w:val="20"/>
          <w:szCs w:val="20"/>
          <w:color w:val="auto"/>
        </w:rPr>
      </w:pPr>
      <w:r>
        <w:rPr>
          <w:rFonts w:ascii="Arial" w:cs="Arial" w:eastAsia="Arial" w:hAnsi="Arial"/>
          <w:sz w:val="17"/>
          <w:szCs w:val="17"/>
          <w:color w:val="auto"/>
        </w:rPr>
        <w:t>SION-719 was generally well tolerated at all dose levels administered in all parts of this Phase 1 trial. A summary table of reported treatment emergent adverse events (“TEAEs”) is shown in Figure 13 below. There were no serious adverse events (“SAEs”), and most TEAEs were mild to moderate (Grade 1 or Grade 2). No TEAEs led to the discontinuation of trial drug, and no dose-limiting TEAEs were observed. The most common TEAEs, occurring in &gt;2 participants, were headache, diarrhea, and nausea. There were no TEAEs related to liver function tests in SION-719 treated patients. There were no clinically meaningful, treatment-emergent trends in other safety parameters, vital signs or electrocardiograms. The data from Part C support the use of a tablet formulation in future trials and indicate that SION-719 can be dosed in a fed or fasted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1237615</wp:posOffset>
            </wp:positionH>
            <wp:positionV relativeFrom="paragraph">
              <wp:posOffset>252730</wp:posOffset>
            </wp:positionV>
            <wp:extent cx="5073015" cy="2437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73015" cy="243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(Figure 13. Safety observations in the SAD and Part C portions of the trial were generally consistent with the MAD findings shown.)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firstLine="627"/>
        <w:spacing w:after="0" w:line="298" w:lineRule="auto"/>
        <w:rPr>
          <w:sz w:val="20"/>
          <w:szCs w:val="20"/>
          <w:color w:val="auto"/>
        </w:rPr>
      </w:pPr>
      <w:r>
        <w:rPr>
          <w:rFonts w:ascii="Arial" w:cs="Arial" w:eastAsia="Arial" w:hAnsi="Arial"/>
          <w:sz w:val="17"/>
          <w:szCs w:val="17"/>
          <w:color w:val="auto"/>
        </w:rPr>
        <w:t>Increasing exposure was observed with increasing single and multiple doses. The concentration targets for SION-719 as an add-on to the standard of care and as part of a dual combination with SION-2222 or SION-109 were achieved with single and multiple doses.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PK of SION-719 observed in the Phase 1 trial was consistent with BID dosing, and is summarized in Figure 14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151765</wp:posOffset>
            </wp:positionV>
            <wp:extent cx="5470525" cy="2818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70525" cy="281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40" w:right="100" w:firstLine="932"/>
        <w:spacing w:after="0" w:line="266" w:lineRule="auto"/>
        <w:rPr>
          <w:sz w:val="20"/>
          <w:szCs w:val="20"/>
          <w:color w:val="auto"/>
        </w:rPr>
      </w:pPr>
      <w:r>
        <w:rPr>
          <w:rFonts w:ascii="Arial" w:cs="Arial" w:eastAsia="Arial" w:hAnsi="Arial"/>
          <w:sz w:val="17"/>
          <w:szCs w:val="17"/>
          <w:i w:val="1"/>
          <w:iCs w:val="1"/>
          <w:color w:val="auto"/>
        </w:rPr>
        <w:t>(Figure 14. Each solid line shows mean concentration data from a dosing cohort on Day 10. Dotted lines represent average PK concentration exposure targets that have the potential, based on our preclinical CFHBE model, to provide clinically meaningful benefit, if SION-</w:t>
      </w:r>
    </w:p>
    <w:p>
      <w:pPr>
        <w:jc w:val="center"/>
        <w:ind w:left="360" w:right="440"/>
        <w:spacing w:after="0" w:line="278" w:lineRule="auto"/>
        <w:rPr>
          <w:sz w:val="20"/>
          <w:szCs w:val="20"/>
          <w:color w:val="auto"/>
        </w:rPr>
      </w:pPr>
      <w:r>
        <w:rPr>
          <w:rFonts w:ascii="Arial" w:cs="Arial" w:eastAsia="Arial" w:hAnsi="Arial"/>
          <w:sz w:val="17"/>
          <w:szCs w:val="17"/>
          <w:i w:val="1"/>
          <w:iCs w:val="1"/>
          <w:color w:val="auto"/>
        </w:rPr>
        <w:t>719 is administered in a proprietary dual combination with either SION-2222 or SION-109, or as an add-on to the standard of care. PK observations in the SAD and Part C portions of the trial were generally consistent with the MAD findings shown.)</w:t>
      </w:r>
    </w:p>
    <w:p>
      <w:pPr>
        <w:spacing w:after="0" w:line="393" w:lineRule="exact"/>
        <w:rPr>
          <w:sz w:val="20"/>
          <w:szCs w:val="20"/>
          <w:color w:val="auto"/>
        </w:rPr>
      </w:pPr>
    </w:p>
    <w:p>
      <w:pPr>
        <w:ind w:right="160" w:firstLine="627"/>
        <w:spacing w:after="0" w:line="250" w:lineRule="auto"/>
        <w:rPr>
          <w:sz w:val="20"/>
          <w:szCs w:val="20"/>
          <w:color w:val="auto"/>
        </w:rPr>
      </w:pPr>
      <w:r>
        <w:rPr>
          <w:rFonts w:ascii="Arial" w:cs="Arial" w:eastAsia="Arial" w:hAnsi="Arial"/>
          <w:sz w:val="17"/>
          <w:szCs w:val="17"/>
          <w:color w:val="auto"/>
        </w:rPr>
        <w:t>Following completion of this Phase 1 trial, we evaluated the achieved clinical exposures of SION-719 in our CFHBE model with a fixed concentration of ETI, to assess SION-719's potential as an add-on to ETI. As shown in the CFHBE model, and depicted in Figure 15, at the clinical exposures achieved in the lower dose range of SION-719, SION-719 in combination with ETI has the potential to improve CFTR channel activity above our minimum target for clinically meaningful benefit, including up to wild-type levels. In Figure 15, CFTR activity in the model is expressed as a ratio relative to ETI at E</w:t>
      </w:r>
      <w:r>
        <w:rPr>
          <w:rFonts w:ascii="Arial" w:cs="Arial" w:eastAsia="Arial" w:hAnsi="Arial"/>
          <w:sz w:val="22"/>
          <w:szCs w:val="22"/>
          <w:color w:val="auto"/>
          <w:vertAlign w:val="subscript"/>
        </w:rPr>
        <w:t>max</w:t>
      </w:r>
      <w:r>
        <w:rPr>
          <w:rFonts w:ascii="Arial" w:cs="Arial" w:eastAsia="Arial" w:hAnsi="Arial"/>
          <w:sz w:val="17"/>
          <w:szCs w:val="17"/>
          <w:color w:val="auto"/>
        </w:rPr>
        <w:t>, which is set at a reference value of 1.00. Based on these findings, we believe that SION-719, when added to standard of care, has the potential to provide clinically meaningful benefit to CF patients.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1237615</wp:posOffset>
            </wp:positionH>
            <wp:positionV relativeFrom="paragraph">
              <wp:posOffset>517525</wp:posOffset>
            </wp:positionV>
            <wp:extent cx="5073015" cy="3423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73015" cy="342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Figure 15</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SION-451 — Clinical Data</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Phase 1 Dual Combination Trial</w:t>
      </w:r>
    </w:p>
    <w:p>
      <w:pPr>
        <w:spacing w:after="0" w:line="222" w:lineRule="exact"/>
        <w:rPr>
          <w:sz w:val="20"/>
          <w:szCs w:val="20"/>
          <w:color w:val="auto"/>
        </w:rPr>
      </w:pPr>
    </w:p>
    <w:p>
      <w:pPr>
        <w:ind w:right="120" w:firstLine="627"/>
        <w:spacing w:after="0" w:line="270" w:lineRule="auto"/>
        <w:rPr>
          <w:sz w:val="20"/>
          <w:szCs w:val="20"/>
          <w:color w:val="auto"/>
        </w:rPr>
      </w:pPr>
      <w:r>
        <w:rPr>
          <w:rFonts w:ascii="Arial" w:cs="Arial" w:eastAsia="Arial" w:hAnsi="Arial"/>
          <w:sz w:val="17"/>
          <w:szCs w:val="17"/>
          <w:color w:val="auto"/>
        </w:rPr>
        <w:t>In August 2025, we announced the initiation of a Phase 1 dual combination trial in healthy volunteers evaluating SION-451 in dual combinations with each of SION-2222 and SION-109, two of our complementary CFTR modulators. The trial is designed to evaluate the safety, tolerability, and PK of varying doses of the dual combinations and will inform selection of a dual combination for further development. We expect topline data from the trial in mid-2026.</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Phase 1 Single Agent Trial</w:t>
      </w:r>
    </w:p>
    <w:p>
      <w:pPr>
        <w:spacing w:after="0" w:line="222" w:lineRule="exact"/>
        <w:rPr>
          <w:sz w:val="20"/>
          <w:szCs w:val="20"/>
          <w:color w:val="auto"/>
        </w:rPr>
      </w:pPr>
    </w:p>
    <w:p>
      <w:pPr>
        <w:ind w:right="80" w:firstLine="627"/>
        <w:spacing w:after="0" w:line="270" w:lineRule="auto"/>
        <w:rPr>
          <w:sz w:val="20"/>
          <w:szCs w:val="20"/>
          <w:color w:val="auto"/>
        </w:rPr>
      </w:pPr>
      <w:r>
        <w:rPr>
          <w:rFonts w:ascii="Arial" w:cs="Arial" w:eastAsia="Arial" w:hAnsi="Arial"/>
          <w:sz w:val="17"/>
          <w:szCs w:val="17"/>
          <w:color w:val="auto"/>
        </w:rPr>
        <w:t>In June 2025, we announced positive topline data from the single-agent portion of a randomized, double blind, placebo-controlled Phase 1 clinical trial of SION-451 in healthy participants. The trial was designed to evaluate the safety, tolerability and PK profile of single and multiple ascending doses of SION-451, administered as an oral suspension. In Part C of the Phase 1 trial, we evaluated the effect of food on PK and the bioequivalence of a tablet formation compared to the oral suspension used in the Phase 1 SAD and MAD trials.</w:t>
      </w:r>
    </w:p>
    <w:p>
      <w:pPr>
        <w:spacing w:after="0" w:line="165"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One hundred and ten total healthy adult participants were dosed in the single-agent portion of this Phase 1 trial. The trial was designed to enroll eight participants, randomized 3:1 active:placebo, to each dosing cohort. SAD cohorts evaluated single doses of 75 mg to 450 mg while fasted, as well as single doses of 25 mg and 75 mg with food to provide a preliminary assessment of the effect of food on PK. Five MAD cohorts evaluated doses between 75mg and 300mg BID over ten dosing days, and 25 mg taken with food to provide a preliminary assessment of the effect of food on PK. Twenty-four participants were dosed in the open-label food effect and tablet bioequivalence part, with separate cohorts evaluating 25 mg and 300 mg as single doses of suspension (fasted), tablet (fasted), and tablet (fed).</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firstLine="627"/>
        <w:spacing w:after="0" w:line="262" w:lineRule="auto"/>
        <w:rPr>
          <w:sz w:val="20"/>
          <w:szCs w:val="20"/>
          <w:color w:val="auto"/>
        </w:rPr>
      </w:pPr>
      <w:r>
        <w:rPr>
          <w:rFonts w:ascii="Arial" w:cs="Arial" w:eastAsia="Arial" w:hAnsi="Arial"/>
          <w:sz w:val="17"/>
          <w:szCs w:val="17"/>
          <w:color w:val="auto"/>
        </w:rPr>
        <w:t>SION-451 was generally well tolerated at all dose levels administered. A summary table of reported TEAEs is shown in Figure 16 below. There were no SAEs, and most TEAEs were mild to moderate (Grade 1 or Grade 2). No TEAEs led to the discontinuation of trial drug, and no dose-limiting TEAEs were observed. Most TEAEs occurring in &gt;2 participants were Grade 1 or Grade 2, and several were in an isolated dose cohort that was impacted by an outbreak of respiratory infection in the Phase 1 unit. One Grade 1 TEAE of increased transaminases was observed in a participant with influenza A infection; the same participant had transient Grade 3 neutropenia concurrent with influenza A infection. There were no other TEAEs related to liver function tests. There were no clinically meaningful, treatment-emergent trends in other safety parameters, vital signs or electrocardiograms. The data from Part C supported the use of a tablet formulation in future studies and indicate that SION-451 can be dosed in a fed or fasted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120015</wp:posOffset>
            </wp:positionV>
            <wp:extent cx="5470525" cy="24949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70525"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(Figure 16. Safety observations in the SAD and Part C portions of the trial were generally consistent with the MAD findings shown.)</w:t>
      </w:r>
    </w:p>
    <w:p>
      <w:pPr>
        <w:spacing w:after="0" w:line="222"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Increasing exposure was observed with increasing single and multiple doses. The concentration targets for SION-451 as both an add-on to the standard of care and as part of a dual combination with SION-2222 or SION-109 were achieved with single and multiple doses. A PK summary of SION-451 in the MAD portion of the trial is shown in Figure 17 below. The observed PK was consistent with BID dosing.</w:t>
      </w: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1237615</wp:posOffset>
            </wp:positionH>
            <wp:positionV relativeFrom="paragraph">
              <wp:posOffset>517525</wp:posOffset>
            </wp:positionV>
            <wp:extent cx="5073015" cy="2478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7301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firstLine="932"/>
        <w:spacing w:after="0" w:line="266" w:lineRule="auto"/>
        <w:rPr>
          <w:sz w:val="20"/>
          <w:szCs w:val="20"/>
          <w:color w:val="auto"/>
        </w:rPr>
      </w:pPr>
      <w:r>
        <w:rPr>
          <w:rFonts w:ascii="Arial" w:cs="Arial" w:eastAsia="Arial" w:hAnsi="Arial"/>
          <w:sz w:val="17"/>
          <w:szCs w:val="17"/>
          <w:i w:val="1"/>
          <w:iCs w:val="1"/>
          <w:color w:val="auto"/>
        </w:rPr>
        <w:t>(Figure 17. Each solid line shows mean concentration data from a dosing cohort on Day 10. Dotted lines represent average PK concentration exposure targets that have the potential, based on our preclinical CFHBE model, to provide clinically meaningful benefit, if SION-</w:t>
      </w:r>
    </w:p>
    <w:p>
      <w:pPr>
        <w:jc w:val="center"/>
        <w:ind w:left="460" w:right="340"/>
        <w:spacing w:after="0" w:line="278" w:lineRule="auto"/>
        <w:rPr>
          <w:sz w:val="20"/>
          <w:szCs w:val="20"/>
          <w:color w:val="auto"/>
        </w:rPr>
      </w:pPr>
      <w:r>
        <w:rPr>
          <w:rFonts w:ascii="Arial" w:cs="Arial" w:eastAsia="Arial" w:hAnsi="Arial"/>
          <w:sz w:val="17"/>
          <w:szCs w:val="17"/>
          <w:i w:val="1"/>
          <w:iCs w:val="1"/>
          <w:color w:val="auto"/>
        </w:rPr>
        <w:t>451 is administered in a proprietary dual combination with either SION-2222 or SION-109, or as an add-on to the standard of care. PK observations in the SAD and Part C portions of the trial were generally consistent with the MAD findings shown.)</w:t>
      </w:r>
    </w:p>
    <w:p>
      <w:pPr>
        <w:spacing w:after="0" w:line="158" w:lineRule="exact"/>
        <w:rPr>
          <w:sz w:val="20"/>
          <w:szCs w:val="20"/>
          <w:color w:val="auto"/>
        </w:rPr>
      </w:pPr>
    </w:p>
    <w:p>
      <w:pPr>
        <w:jc w:val="both"/>
        <w:ind w:right="100" w:firstLine="627"/>
        <w:spacing w:after="0" w:line="251" w:lineRule="auto"/>
        <w:rPr>
          <w:sz w:val="20"/>
          <w:szCs w:val="20"/>
          <w:color w:val="auto"/>
        </w:rPr>
      </w:pPr>
      <w:r>
        <w:rPr>
          <w:rFonts w:ascii="Arial" w:cs="Arial" w:eastAsia="Arial" w:hAnsi="Arial"/>
          <w:sz w:val="17"/>
          <w:szCs w:val="17"/>
          <w:color w:val="auto"/>
        </w:rPr>
        <w:t>Following completion of the single agent portion of this Phase 1 trial, we evaluated the achieved clinical exposures of SION-451 in our CFHBE model with a fixed concentration of SION-109 and SION-2222, to assess their potential in dual combinations. As shown in the CFHBE model, and depicted in Figure 18, at these clinical exposures achieved, SION-451 in combination with each of SION-2222 or SION-109 has the potential to improve CFTR channel activity above our minimum target for clinically meaningful benefit, including up to wild-type levels. In Figure 18, CFTR activity in the model is expressed as a ratio relative to ETI at E</w:t>
      </w:r>
      <w:r>
        <w:rPr>
          <w:rFonts w:ascii="Arial" w:cs="Arial" w:eastAsia="Arial" w:hAnsi="Arial"/>
          <w:sz w:val="22"/>
          <w:szCs w:val="22"/>
          <w:color w:val="auto"/>
          <w:vertAlign w:val="subscript"/>
        </w:rPr>
        <w:t>max</w:t>
      </w:r>
      <w:r>
        <w:rPr>
          <w:rFonts w:ascii="Arial" w:cs="Arial" w:eastAsia="Arial" w:hAnsi="Arial"/>
          <w:sz w:val="17"/>
          <w:szCs w:val="17"/>
          <w:color w:val="auto"/>
        </w:rPr>
        <w:t>, which is set at a reference value of 1.00. Based on these findings, we believe that SION-451 in a dual combination with a complementary modulator has the potential to provide clinically meaningful benefit to CF patients, and we advanced SION-451 into our ongoing dual combination trial with each of SION-2222 and SION-109.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517525</wp:posOffset>
            </wp:positionV>
            <wp:extent cx="5073015" cy="3373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73015" cy="337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4139"/>
        <w:spacing w:after="0"/>
        <w:rPr>
          <w:sz w:val="20"/>
          <w:szCs w:val="20"/>
          <w:color w:val="auto"/>
        </w:rPr>
      </w:pPr>
      <w:r>
        <w:rPr>
          <w:rFonts w:ascii="Arial" w:cs="Arial" w:eastAsia="Arial" w:hAnsi="Arial"/>
          <w:sz w:val="17"/>
          <w:szCs w:val="17"/>
          <w:i w:val="1"/>
          <w:iCs w:val="1"/>
          <w:color w:val="auto"/>
        </w:rPr>
        <w:t>Figure 18</w:t>
      </w:r>
    </w:p>
    <w:p>
      <w:pPr>
        <w:spacing w:after="0" w:line="200" w:lineRule="exact"/>
        <w:rPr>
          <w:sz w:val="20"/>
          <w:szCs w:val="20"/>
          <w:color w:val="auto"/>
        </w:rPr>
      </w:pPr>
    </w:p>
    <w:p>
      <w:pPr>
        <w:spacing w:after="0" w:line="38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 of SION-719 and SION-451</w:t>
      </w:r>
    </w:p>
    <w:p>
      <w:pPr>
        <w:spacing w:after="0" w:line="222"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We have used numerous complementary methods to validate and characterize the activity of our compounds. In addition to the CFHBE model, we have utilized differential static light scattering (“DSLS”) experiments to measure the thermal stability of the NBD1 protein, surface plasmon resonance (“SPR”) studies to evaluate the interaction of SION-719 and SION-451 with the NBD1 domain, CFTR western blot analysis to assess the impact of NBD1 stabilizers on the folding, maturation and stability of F508del-CFTR, and metabolic pulse-chase analysis studies to assess the impact of SION-719 and SION-451 on F508del-CFTR half-life. Given the results of these preclinical studies, we believe that we have identified highly potent NBD1 stabilizers.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SION-719 and SION-451 Increased NBD1 Thermal Stability</w:t>
      </w:r>
    </w:p>
    <w:p>
      <w:pPr>
        <w:spacing w:after="0" w:line="118" w:lineRule="exact"/>
        <w:rPr>
          <w:sz w:val="20"/>
          <w:szCs w:val="20"/>
          <w:color w:val="auto"/>
        </w:rPr>
      </w:pPr>
    </w:p>
    <w:p>
      <w:pPr>
        <w:ind w:right="80" w:firstLine="627"/>
        <w:spacing w:after="0" w:line="262" w:lineRule="auto"/>
        <w:rPr>
          <w:sz w:val="20"/>
          <w:szCs w:val="20"/>
          <w:color w:val="auto"/>
        </w:rPr>
      </w:pPr>
      <w:r>
        <w:rPr>
          <w:rFonts w:ascii="Arial" w:cs="Arial" w:eastAsia="Arial" w:hAnsi="Arial"/>
          <w:sz w:val="17"/>
          <w:szCs w:val="17"/>
          <w:color w:val="auto"/>
        </w:rPr>
        <w:t>In preclinical studies, SION-719 and SION-451 increased the stability of the NBD1 domain as measured using DSLS experiments. Light scattering provides a measure of the temperature at which a protein unfolds. As the temperature rises, the CFTR protein unfolds and creates aggregates that interfere with the passage of light. These preclinical studies evaluated the change in temperature that the protein aggregated as the ratio of the compound to CFTR protein increased, which is an indicator of stability. We also evaluated ETI in these preclinical studies, and we found that they had no effect on NBD1 thermal stability, as measured by light scattering techniques. Restoration of NBD1 thermal stability has been highlighted as being both necessary and sufficient to correct F508del CFTR folding and assembly. Both SION-719 (Figure 19, left) and SION-451 (Figure 19, right) increased F508del-NBD1 stability by approximately 16°C. These preclinical models show the ability of SION-719 and SION-451 to improve the stability of NBD1 as compared to ETI, as measured by light scattering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120015</wp:posOffset>
            </wp:positionV>
            <wp:extent cx="5404485" cy="1715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04485" cy="171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40"/>
        <w:spacing w:after="0"/>
        <w:rPr>
          <w:sz w:val="20"/>
          <w:szCs w:val="20"/>
          <w:color w:val="auto"/>
        </w:rPr>
      </w:pPr>
      <w:r>
        <w:rPr>
          <w:rFonts w:ascii="Arial" w:cs="Arial" w:eastAsia="Arial" w:hAnsi="Arial"/>
          <w:sz w:val="10"/>
          <w:szCs w:val="10"/>
          <w:b w:val="1"/>
          <w:bCs w:val="1"/>
          <w:i w:val="1"/>
          <w:iCs w:val="1"/>
          <w:color w:val="auto"/>
        </w:rPr>
        <w:t xml:space="preserve">ΔTagg °C </w:t>
      </w:r>
      <w:r>
        <w:rPr>
          <w:rFonts w:ascii="Arial" w:cs="Arial" w:eastAsia="Arial" w:hAnsi="Arial"/>
          <w:sz w:val="10"/>
          <w:szCs w:val="10"/>
          <w:i w:val="1"/>
          <w:iCs w:val="1"/>
          <w:color w:val="auto"/>
        </w:rPr>
        <w:t>= Change in the temperature at which F508del-NBD1 protein unfolds and aggregates</w:t>
      </w:r>
    </w:p>
    <w:p>
      <w:pPr>
        <w:spacing w:after="0" w:line="10" w:lineRule="exact"/>
        <w:rPr>
          <w:sz w:val="20"/>
          <w:szCs w:val="20"/>
          <w:color w:val="auto"/>
        </w:rPr>
      </w:pPr>
    </w:p>
    <w:p>
      <w:pPr>
        <w:jc w:val="center"/>
        <w:ind w:right="140"/>
        <w:spacing w:after="0"/>
        <w:rPr>
          <w:sz w:val="20"/>
          <w:szCs w:val="20"/>
          <w:color w:val="auto"/>
        </w:rPr>
      </w:pPr>
      <w:r>
        <w:rPr>
          <w:rFonts w:ascii="Arial" w:cs="Arial" w:eastAsia="Arial" w:hAnsi="Arial"/>
          <w:sz w:val="10"/>
          <w:szCs w:val="10"/>
          <w:b w:val="1"/>
          <w:bCs w:val="1"/>
          <w:i w:val="1"/>
          <w:iCs w:val="1"/>
          <w:color w:val="auto"/>
        </w:rPr>
        <w:t xml:space="preserve">N=4, </w:t>
      </w:r>
      <w:r>
        <w:rPr>
          <w:rFonts w:ascii="Arial" w:cs="Arial" w:eastAsia="Arial" w:hAnsi="Arial"/>
          <w:sz w:val="10"/>
          <w:szCs w:val="10"/>
          <w:i w:val="1"/>
          <w:iCs w:val="1"/>
          <w:color w:val="auto"/>
        </w:rPr>
        <w:t>error bars represent standard deviation</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Figure 19</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SION-719 and SION-451 Bound to NBD1 with High Affinity</w:t>
      </w:r>
    </w:p>
    <w:p>
      <w:pPr>
        <w:spacing w:after="0" w:line="222" w:lineRule="exact"/>
        <w:rPr>
          <w:sz w:val="20"/>
          <w:szCs w:val="20"/>
          <w:color w:val="auto"/>
        </w:rPr>
      </w:pPr>
    </w:p>
    <w:p>
      <w:pPr>
        <w:ind w:firstLine="627"/>
        <w:spacing w:after="0" w:line="250" w:lineRule="auto"/>
        <w:rPr>
          <w:sz w:val="20"/>
          <w:szCs w:val="20"/>
          <w:color w:val="auto"/>
        </w:rPr>
      </w:pPr>
      <w:r>
        <w:rPr>
          <w:rFonts w:ascii="Arial" w:cs="Arial" w:eastAsia="Arial" w:hAnsi="Arial"/>
          <w:sz w:val="17"/>
          <w:szCs w:val="17"/>
          <w:color w:val="auto"/>
        </w:rPr>
        <w:t>To evaluate the binding ability of our stabilizer candidates, we employed SPR studies to evaluate the interaction of SION-719 and SION-451 with the NBD1 domain. SPR studies measure changes in the mass of biomolecules immobilized on a metal film. When a small molecule ligand binds to the immobilized target protein, the refractive index of the metal film changes, resulting in a changed reflection angle of light. In these studies, we found that the strength of the binding interaction was high; the binding affinity of SION-719 to F508del-NBD1 was approximately 4.3 nM and the binding affinity of SION-451 to F508del-NBD1 was approximately 2.4 nM, each expressed as a K</w:t>
      </w:r>
      <w:r>
        <w:rPr>
          <w:rFonts w:ascii="Arial" w:cs="Arial" w:eastAsia="Arial" w:hAnsi="Arial"/>
          <w:sz w:val="22"/>
          <w:szCs w:val="22"/>
          <w:color w:val="auto"/>
          <w:vertAlign w:val="subscript"/>
        </w:rPr>
        <w:t>D</w:t>
      </w:r>
      <w:r>
        <w:rPr>
          <w:rFonts w:ascii="Arial" w:cs="Arial" w:eastAsia="Arial" w:hAnsi="Arial"/>
          <w:sz w:val="17"/>
          <w:szCs w:val="17"/>
          <w:color w:val="auto"/>
        </w:rPr>
        <w:t xml:space="preserve"> value.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SION-719 and SION-451 Restored F508del Folding and Maturation</w:t>
      </w:r>
    </w:p>
    <w:p>
      <w:pPr>
        <w:spacing w:after="0" w:line="118" w:lineRule="exact"/>
        <w:rPr>
          <w:sz w:val="20"/>
          <w:szCs w:val="20"/>
          <w:color w:val="auto"/>
        </w:rPr>
      </w:pPr>
    </w:p>
    <w:p>
      <w:pPr>
        <w:jc w:val="both"/>
        <w:ind w:right="100" w:firstLine="627"/>
        <w:spacing w:after="0" w:line="277" w:lineRule="auto"/>
        <w:rPr>
          <w:sz w:val="20"/>
          <w:szCs w:val="20"/>
          <w:color w:val="auto"/>
        </w:rPr>
      </w:pPr>
      <w:r>
        <w:rPr>
          <w:rFonts w:ascii="Arial" w:cs="Arial" w:eastAsia="Arial" w:hAnsi="Arial"/>
          <w:sz w:val="17"/>
          <w:szCs w:val="17"/>
          <w:color w:val="auto"/>
        </w:rPr>
        <w:t>In preclinical studies, we evaluated SION-719 and SION-451 in various combinations, including with ETI, SION-2222, and SION-109 to assess these combinations’ ability to improve CFTR folding, maturation and stability and thereby correct F508del-CFTR. Preclinical studies with both SION-719 and SION-451-based combinations resulted in F508del-CFTR maturation to levels that are similar to wild-type CFTR. We believe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these results demonstrated potential synergy between an NBD1 stabilizer and these complementary modulators.</w:t>
      </w:r>
    </w:p>
    <w:p>
      <w:pPr>
        <w:spacing w:after="0" w:line="222" w:lineRule="exact"/>
        <w:rPr>
          <w:sz w:val="20"/>
          <w:szCs w:val="20"/>
          <w:color w:val="auto"/>
        </w:rPr>
      </w:pPr>
    </w:p>
    <w:p>
      <w:pPr>
        <w:ind w:right="40" w:firstLine="627"/>
        <w:spacing w:after="0" w:line="250" w:lineRule="auto"/>
        <w:rPr>
          <w:sz w:val="20"/>
          <w:szCs w:val="20"/>
          <w:color w:val="auto"/>
        </w:rPr>
      </w:pPr>
      <w:r>
        <w:rPr>
          <w:rFonts w:ascii="Arial" w:cs="Arial" w:eastAsia="Arial" w:hAnsi="Arial"/>
          <w:sz w:val="17"/>
          <w:szCs w:val="17"/>
          <w:color w:val="auto"/>
        </w:rPr>
        <w:t>The results of studies of CFTR maturation in human CF submucosal gland epithelial (“CFSMEo”) cells by western blot with SION-719 are shown in Figure 20 (top), and the results with SION-451 combinations are shown in Figure 20 (bottom). Together, the western blots illustrate F508del-CFTR protein in a submucosal-gland epithelial cell line that expresses CFTR, treated with various combinations of CFTR modulators. The top molecular weight bands, labeled C-band, indicate the presence of the active, mature apical glycoform of CFTR (dark bands), which is responsible for CFTR channel function. The compounds were evaluated at their E</w:t>
      </w:r>
      <w:r>
        <w:rPr>
          <w:rFonts w:ascii="Arial" w:cs="Arial" w:eastAsia="Arial" w:hAnsi="Arial"/>
          <w:sz w:val="22"/>
          <w:szCs w:val="22"/>
          <w:color w:val="auto"/>
          <w:vertAlign w:val="subscript"/>
        </w:rPr>
        <w:t>max</w:t>
      </w:r>
      <w:r>
        <w:rPr>
          <w:rFonts w:ascii="Arial" w:cs="Arial" w:eastAsia="Arial" w:hAnsi="Arial"/>
          <w:sz w:val="17"/>
          <w:szCs w:val="17"/>
          <w:color w:val="auto"/>
        </w:rPr>
        <w:t>.</w:t>
      </w:r>
    </w:p>
    <w:p>
      <w:pPr>
        <w:spacing w:after="0" w:line="175" w:lineRule="exact"/>
        <w:rPr>
          <w:sz w:val="20"/>
          <w:szCs w:val="20"/>
          <w:color w:val="auto"/>
        </w:rPr>
      </w:pPr>
    </w:p>
    <w:p>
      <w:pPr>
        <w:ind w:right="220" w:firstLine="627"/>
        <w:spacing w:after="0" w:line="239" w:lineRule="auto"/>
        <w:rPr>
          <w:sz w:val="20"/>
          <w:szCs w:val="20"/>
          <w:color w:val="auto"/>
        </w:rPr>
      </w:pPr>
      <w:r>
        <w:rPr>
          <w:rFonts w:ascii="Arial" w:cs="Arial" w:eastAsia="Arial" w:hAnsi="Arial"/>
          <w:sz w:val="17"/>
          <w:szCs w:val="17"/>
          <w:color w:val="auto"/>
        </w:rPr>
        <w:t>In Figure 20, the far-left column in the C-band is F508del in dimethylsulfoxide (“DMSO”) alone, showing no mature protein, and the far-right column is wild-type CFTR in DMSO with a dark band indicating the presence of mature CFTR protein. As seen in Figure 20 (top), dual combinations of SION-719 with SION-2222 or SION-109, or the addition of SION-719 to ETI, resulted in wild-type levels of corrected F508del-CFTR protein. Treatment with SION-719 as a single agent demonstrated a greater effect on F508del maturation than ETI at E</w:t>
      </w:r>
      <w:r>
        <w:rPr>
          <w:rFonts w:ascii="Arial" w:cs="Arial" w:eastAsia="Arial" w:hAnsi="Arial"/>
          <w:sz w:val="22"/>
          <w:szCs w:val="22"/>
          <w:color w:val="auto"/>
          <w:vertAlign w:val="subscript"/>
        </w:rPr>
        <w:t>max</w:t>
      </w:r>
      <w:r>
        <w:rPr>
          <w:rFonts w:ascii="Arial" w:cs="Arial" w:eastAsia="Arial" w:hAnsi="Arial"/>
          <w:sz w:val="17"/>
          <w:szCs w:val="17"/>
          <w:color w:val="auto"/>
        </w:rPr>
        <w:t>. On the other hand, there was little improvement in the maturation of F508del-CFTR protein with SION-2222 alone, SION-109 alone or ETI at their respective E</w:t>
      </w:r>
      <w:r>
        <w:rPr>
          <w:rFonts w:ascii="Arial" w:cs="Arial" w:eastAsia="Arial" w:hAnsi="Arial"/>
          <w:sz w:val="22"/>
          <w:szCs w:val="22"/>
          <w:color w:val="auto"/>
          <w:vertAlign w:val="subscript"/>
        </w:rPr>
        <w:t>max</w:t>
      </w:r>
      <w:r>
        <w:rPr>
          <w:rFonts w:ascii="Arial" w:cs="Arial" w:eastAsia="Arial" w:hAnsi="Arial"/>
          <w:sz w:val="17"/>
          <w:szCs w:val="17"/>
          <w:color w:val="auto"/>
        </w:rPr>
        <w:t xml:space="preserve"> concentrations, as indicated by the light gray bands. The results with SION-451 presented in Figure 20 (bottom) are similar. The western blots below demonstrate the importance of NBD1 stabilization to the correction of F508del maturation.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133985</wp:posOffset>
            </wp:positionV>
            <wp:extent cx="5470525" cy="2967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7052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60"/>
        <w:spacing w:after="0"/>
        <w:rPr>
          <w:sz w:val="20"/>
          <w:szCs w:val="20"/>
          <w:color w:val="auto"/>
        </w:rPr>
      </w:pPr>
      <w:r>
        <w:rPr>
          <w:rFonts w:ascii="Arial" w:cs="Arial" w:eastAsia="Arial" w:hAnsi="Arial"/>
          <w:sz w:val="17"/>
          <w:szCs w:val="17"/>
          <w:i w:val="1"/>
          <w:iCs w:val="1"/>
          <w:color w:val="auto"/>
        </w:rPr>
        <w:t>Figure 20</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SION-719 and SION-451 Improved the Half-life of F508del-CFTR</w:t>
      </w:r>
    </w:p>
    <w:p>
      <w:pPr>
        <w:spacing w:after="0" w:line="222" w:lineRule="exact"/>
        <w:rPr>
          <w:sz w:val="20"/>
          <w:szCs w:val="20"/>
          <w:color w:val="auto"/>
        </w:rPr>
      </w:pPr>
    </w:p>
    <w:p>
      <w:pPr>
        <w:ind w:firstLine="627"/>
        <w:spacing w:after="0" w:line="263" w:lineRule="auto"/>
        <w:rPr>
          <w:sz w:val="20"/>
          <w:szCs w:val="20"/>
          <w:color w:val="auto"/>
        </w:rPr>
      </w:pPr>
      <w:r>
        <w:rPr>
          <w:rFonts w:ascii="Arial" w:cs="Arial" w:eastAsia="Arial" w:hAnsi="Arial"/>
          <w:sz w:val="17"/>
          <w:szCs w:val="17"/>
          <w:color w:val="auto"/>
        </w:rPr>
        <w:t>In preclinical studies, we used metabolic pulse-chase labeling analysis to evaluate the impact of NBD1 stabilizers SION -451 and SION-719 on F508del-CFTR half-life at the apical cell surface. In these studies, cells expressing F508del-CFTR were labeled to track newly synthesized CFTR protein, and the rate at which the labeled protein declined over time was measured to assess whether treatment with SION -719 or SION-451 increased the half-life of the mature CFTR protein relative to controls. We evaluated SION-451 in the presence or absence of SION-2222 or SION-109, and SION-719 in the presence or absence of ETI. As shown in Figure 21, treatment with either NBD1 stabilizer, as single agents or in combination with other complementary modulators, increased F508del-CFTR half-life to that of wild-type CFTR. In comparison, treatment with ETI alone had a minimal effect on F508del-CFTR half-life.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1237615</wp:posOffset>
            </wp:positionH>
            <wp:positionV relativeFrom="paragraph">
              <wp:posOffset>517525</wp:posOffset>
            </wp:positionV>
            <wp:extent cx="5073015" cy="2188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73015" cy="2188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7"/>
          <w:szCs w:val="17"/>
          <w:i w:val="1"/>
          <w:iCs w:val="1"/>
          <w:color w:val="auto"/>
        </w:rPr>
        <w:t>Figure 21</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SION-719 and SION-451 Normalized CFTR Function in CFHBE Model at E</w:t>
      </w:r>
      <w:r>
        <w:rPr>
          <w:rFonts w:ascii="Arial" w:cs="Arial" w:eastAsia="Arial" w:hAnsi="Arial"/>
          <w:sz w:val="22"/>
          <w:szCs w:val="22"/>
          <w:i w:val="1"/>
          <w:iCs w:val="1"/>
          <w:color w:val="auto"/>
          <w:vertAlign w:val="subscript"/>
        </w:rPr>
        <w:t>max</w:t>
      </w:r>
    </w:p>
    <w:p>
      <w:pPr>
        <w:spacing w:after="0" w:line="165" w:lineRule="exact"/>
        <w:rPr>
          <w:sz w:val="20"/>
          <w:szCs w:val="20"/>
          <w:color w:val="auto"/>
        </w:rPr>
      </w:pPr>
    </w:p>
    <w:p>
      <w:pPr>
        <w:ind w:right="100" w:firstLine="627"/>
        <w:spacing w:after="0" w:line="250" w:lineRule="auto"/>
        <w:rPr>
          <w:sz w:val="20"/>
          <w:szCs w:val="20"/>
          <w:color w:val="auto"/>
        </w:rPr>
      </w:pPr>
      <w:r>
        <w:rPr>
          <w:rFonts w:ascii="Arial" w:cs="Arial" w:eastAsia="Arial" w:hAnsi="Arial"/>
          <w:sz w:val="17"/>
          <w:szCs w:val="17"/>
          <w:color w:val="auto"/>
        </w:rPr>
        <w:t>In our CFHBE model, SION-719 and SION-451 as single agents at E</w:t>
      </w:r>
      <w:r>
        <w:rPr>
          <w:rFonts w:ascii="Arial" w:cs="Arial" w:eastAsia="Arial" w:hAnsi="Arial"/>
          <w:sz w:val="22"/>
          <w:szCs w:val="22"/>
          <w:color w:val="auto"/>
          <w:vertAlign w:val="subscript"/>
        </w:rPr>
        <w:t>max</w:t>
      </w:r>
      <w:r>
        <w:rPr>
          <w:rFonts w:ascii="Arial" w:cs="Arial" w:eastAsia="Arial" w:hAnsi="Arial"/>
          <w:sz w:val="17"/>
          <w:szCs w:val="17"/>
          <w:color w:val="auto"/>
        </w:rPr>
        <w:t xml:space="preserve"> improved F508del-CFTR activity to levels observed near those with triple combination ETI at E</w:t>
      </w:r>
      <w:r>
        <w:rPr>
          <w:rFonts w:ascii="Arial" w:cs="Arial" w:eastAsia="Arial" w:hAnsi="Arial"/>
          <w:sz w:val="22"/>
          <w:szCs w:val="22"/>
          <w:color w:val="auto"/>
          <w:vertAlign w:val="subscript"/>
        </w:rPr>
        <w:t>max</w:t>
      </w:r>
      <w:r>
        <w:rPr>
          <w:rFonts w:ascii="Arial" w:cs="Arial" w:eastAsia="Arial" w:hAnsi="Arial"/>
          <w:sz w:val="17"/>
          <w:szCs w:val="17"/>
          <w:color w:val="auto"/>
        </w:rPr>
        <w:t>. The results of the SION-719 and SION-451 studies are shown in Figure 22. In Figure 22, CFTR activity is expressed as a ratio relative to ETI at Emax. The vertical bars represent the mean CFTR channel activity (+/- standard error of eight replicates) from a representative study in homozygous F508del CFHBE cells in response to the treatments indicated. The dashed line represents the average response to ETI in each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125730</wp:posOffset>
            </wp:positionV>
            <wp:extent cx="5470525" cy="2296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70525"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60"/>
        <w:spacing w:after="0"/>
        <w:rPr>
          <w:sz w:val="20"/>
          <w:szCs w:val="20"/>
          <w:color w:val="auto"/>
        </w:rPr>
      </w:pPr>
      <w:r>
        <w:rPr>
          <w:rFonts w:ascii="Arial" w:cs="Arial" w:eastAsia="Arial" w:hAnsi="Arial"/>
          <w:sz w:val="17"/>
          <w:szCs w:val="17"/>
          <w:i w:val="1"/>
          <w:iCs w:val="1"/>
          <w:color w:val="auto"/>
        </w:rPr>
        <w:t>Figure 22</w:t>
      </w:r>
    </w:p>
    <w:p>
      <w:pPr>
        <w:spacing w:after="0" w:line="3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our CFHBE model, SION-719 when added to ETI and SION-451 in dual combinations with SION-2222 or SION-109, improved in vitro</w:t>
      </w:r>
    </w:p>
    <w:p>
      <w:pPr>
        <w:spacing w:after="0" w:line="226" w:lineRule="auto"/>
        <w:rPr>
          <w:sz w:val="20"/>
          <w:szCs w:val="20"/>
          <w:color w:val="auto"/>
        </w:rPr>
      </w:pPr>
      <w:r>
        <w:rPr>
          <w:rFonts w:ascii="Arial" w:cs="Arial" w:eastAsia="Arial" w:hAnsi="Arial"/>
          <w:sz w:val="17"/>
          <w:szCs w:val="17"/>
          <w:color w:val="auto"/>
        </w:rPr>
        <w:t>F508del-CFTR activity to wild-type levels, when administered at E</w:t>
      </w:r>
      <w:r>
        <w:rPr>
          <w:rFonts w:ascii="Arial" w:cs="Arial" w:eastAsia="Arial" w:hAnsi="Arial"/>
          <w:sz w:val="22"/>
          <w:szCs w:val="22"/>
          <w:color w:val="auto"/>
          <w:vertAlign w:val="subscript"/>
        </w:rPr>
        <w:t>max</w:t>
      </w:r>
      <w:r>
        <w:rPr>
          <w:rFonts w:ascii="Arial" w:cs="Arial" w:eastAsia="Arial" w:hAnsi="Arial"/>
          <w:sz w:val="17"/>
          <w:szCs w:val="17"/>
          <w:color w:val="auto"/>
        </w:rPr>
        <w:t>. As noted above, improvements in CFTR function we observed in our</w:t>
      </w:r>
    </w:p>
    <w:p>
      <w:pPr>
        <w:spacing w:after="0"/>
        <w:rPr>
          <w:sz w:val="20"/>
          <w:szCs w:val="20"/>
          <w:color w:val="auto"/>
        </w:rPr>
      </w:pPr>
      <w:r>
        <w:rPr>
          <w:rFonts w:ascii="Arial" w:cs="Arial" w:eastAsia="Arial" w:hAnsi="Arial"/>
          <w:sz w:val="17"/>
          <w:szCs w:val="17"/>
          <w:color w:val="auto"/>
        </w:rPr>
        <w:t>CFHBE model have been highly correlated with mean improvements in sweat chloride levels and mean improvements in lung function.</w:t>
      </w:r>
    </w:p>
    <w:p>
      <w:pPr>
        <w:spacing w:after="0" w:line="206"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Based on our findings in these preclinical studies and the strong correlation between chloride conductance and improved clinical activity, we believe that SION-719 in combination with ETI and SION-451 in combination with a complementary CFTR modulator, have the potential to achieve significant improvement in</w:t>
      </w:r>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40"/>
        <w:spacing w:after="0" w:line="298" w:lineRule="auto"/>
        <w:rPr>
          <w:sz w:val="20"/>
          <w:szCs w:val="20"/>
          <w:color w:val="auto"/>
        </w:rPr>
      </w:pPr>
      <w:r>
        <w:rPr>
          <w:rFonts w:ascii="Arial" w:cs="Arial" w:eastAsia="Arial" w:hAnsi="Arial"/>
          <w:sz w:val="17"/>
          <w:szCs w:val="17"/>
          <w:color w:val="auto"/>
        </w:rPr>
        <w:t>CFTR function, as measured by sweat chloride levels and lung function, and thereby have the potential to lead to clinically meaningful benefit for CF patients.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Setting Initial Clinical Exposure Targets Based on CFHBE Model</w:t>
      </w:r>
    </w:p>
    <w:p>
      <w:pPr>
        <w:spacing w:after="0" w:line="118" w:lineRule="exact"/>
        <w:rPr>
          <w:sz w:val="20"/>
          <w:szCs w:val="20"/>
          <w:color w:val="auto"/>
        </w:rPr>
      </w:pPr>
    </w:p>
    <w:p>
      <w:pPr>
        <w:ind w:right="20" w:firstLine="627"/>
        <w:spacing w:after="0" w:line="245" w:lineRule="auto"/>
        <w:rPr>
          <w:sz w:val="20"/>
          <w:szCs w:val="20"/>
          <w:color w:val="auto"/>
        </w:rPr>
      </w:pPr>
      <w:r>
        <w:rPr>
          <w:rFonts w:ascii="Arial" w:cs="Arial" w:eastAsia="Arial" w:hAnsi="Arial"/>
          <w:sz w:val="17"/>
          <w:szCs w:val="17"/>
          <w:color w:val="auto"/>
        </w:rPr>
        <w:t>To set total plasma concentration targets in our Phase 1 clinical trials with SION-719 and SION-451 in healthy volunteers, we conducted multiple dose response studies of both compounds in our CFHBE model that assessed F508del-CFTR activity as a function of each compound’s concentration in cell culture media supplemented with human serum to 20% by volume. We selected a target exposure for our Phase 1 trials based on an average of these preclinical dose response studies along with studies to define an adequate safety margin. Figure 23 below presents illustrative dose responses of SION-719, as a single agent and in combination with ETI, SION-109 or SION-2222, as a function of the fold efficacy (CFTR activity) of ETI at increasing dose concentrations, in CFHBE cells from single donors. The black dotted horizontal line indicates ETI’s improvement in F508del-CFTR activity at E</w:t>
      </w:r>
      <w:r>
        <w:rPr>
          <w:rFonts w:ascii="Arial" w:cs="Arial" w:eastAsia="Arial" w:hAnsi="Arial"/>
          <w:sz w:val="22"/>
          <w:szCs w:val="22"/>
          <w:color w:val="auto"/>
          <w:vertAlign w:val="subscript"/>
        </w:rPr>
        <w:t>max</w:t>
      </w:r>
      <w:r>
        <w:rPr>
          <w:rFonts w:ascii="Arial" w:cs="Arial" w:eastAsia="Arial" w:hAnsi="Arial"/>
          <w:sz w:val="17"/>
          <w:szCs w:val="17"/>
          <w:color w:val="auto"/>
        </w:rPr>
        <w:t>, the teal horizontal line indicates our minimum target for clinically meaningful improvement in F508del-CFTR activity based on our CFHBE assay, and the green horizontal line represents the lower bound of the CFTR activity range observed across a panel of eight CFTR wild-type CFHBE donors. The X-axis shows increasing drug concentrations on a logarithmic scale. A roughly two-fold increase over ETI, as seen with SION-719 treatment at its E</w:t>
      </w:r>
      <w:r>
        <w:rPr>
          <w:rFonts w:ascii="Arial" w:cs="Arial" w:eastAsia="Arial" w:hAnsi="Arial"/>
          <w:sz w:val="22"/>
          <w:szCs w:val="22"/>
          <w:color w:val="auto"/>
          <w:vertAlign w:val="subscript"/>
        </w:rPr>
        <w:t>max</w:t>
      </w:r>
      <w:r>
        <w:rPr>
          <w:rFonts w:ascii="Arial" w:cs="Arial" w:eastAsia="Arial" w:hAnsi="Arial"/>
          <w:sz w:val="17"/>
          <w:szCs w:val="17"/>
          <w:color w:val="auto"/>
        </w:rPr>
        <w:t xml:space="preserve"> in each of the three combinations, is in the range of wild-type channel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127635</wp:posOffset>
            </wp:positionV>
            <wp:extent cx="5470525" cy="12268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70525" cy="122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(Figure 23. ETI = 3 μM Elexacaftor + 45 μM Tezacaftor + 0.3 μM Ivacaftor. SION-109 and SION-2222 were used at 3 μM.)</w:t>
      </w:r>
    </w:p>
    <w:p>
      <w:pPr>
        <w:spacing w:after="0" w:line="327" w:lineRule="exact"/>
        <w:rPr>
          <w:sz w:val="20"/>
          <w:szCs w:val="20"/>
          <w:color w:val="auto"/>
        </w:rPr>
      </w:pPr>
    </w:p>
    <w:p>
      <w:pPr>
        <w:ind w:firstLine="627"/>
        <w:spacing w:after="0" w:line="245" w:lineRule="auto"/>
        <w:rPr>
          <w:sz w:val="20"/>
          <w:szCs w:val="20"/>
          <w:color w:val="auto"/>
        </w:rPr>
      </w:pPr>
      <w:r>
        <w:rPr>
          <w:rFonts w:ascii="Arial" w:cs="Arial" w:eastAsia="Arial" w:hAnsi="Arial"/>
          <w:sz w:val="17"/>
          <w:szCs w:val="17"/>
          <w:color w:val="auto"/>
        </w:rPr>
        <w:t>Figure 24 below presents illustrative dose responses of SION-451, as a single agent and in combination with ETI, SION-109 or SION-2222, as a function of the fold efficacy (CFTR activity) of ETI at increasing dose concentrations, in CFHBE cells from single donors. A roughly two-fold increase over ETI, as seen with SION-451 treatment at its E</w:t>
      </w:r>
      <w:r>
        <w:rPr>
          <w:rFonts w:ascii="Arial" w:cs="Arial" w:eastAsia="Arial" w:hAnsi="Arial"/>
          <w:sz w:val="22"/>
          <w:szCs w:val="22"/>
          <w:color w:val="auto"/>
          <w:vertAlign w:val="subscript"/>
        </w:rPr>
        <w:t>max</w:t>
      </w:r>
      <w:r>
        <w:rPr>
          <w:rFonts w:ascii="Arial" w:cs="Arial" w:eastAsia="Arial" w:hAnsi="Arial"/>
          <w:sz w:val="17"/>
          <w:szCs w:val="17"/>
          <w:color w:val="auto"/>
        </w:rPr>
        <w:t xml:space="preserve"> in each of the three combinations, is in the range of wild-type channel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123825</wp:posOffset>
            </wp:positionV>
            <wp:extent cx="5470525" cy="12268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70525" cy="122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(Figure 24. ETI = 3 μM Elexacaftor + 45 μM Tezacaftor + 0.3 μM Ivacaftor. SION-109 and SION-2222 were used at 3 μM.)</w:t>
      </w:r>
    </w:p>
    <w:p>
      <w:pPr>
        <w:spacing w:after="0" w:line="327" w:lineRule="exact"/>
        <w:rPr>
          <w:sz w:val="20"/>
          <w:szCs w:val="20"/>
          <w:color w:val="auto"/>
        </w:rPr>
      </w:pPr>
    </w:p>
    <w:p>
      <w:pPr>
        <w:ind w:right="80" w:firstLine="627"/>
        <w:spacing w:after="0" w:line="248" w:lineRule="auto"/>
        <w:rPr>
          <w:sz w:val="20"/>
          <w:szCs w:val="20"/>
          <w:color w:val="auto"/>
        </w:rPr>
      </w:pPr>
      <w:r>
        <w:rPr>
          <w:rFonts w:ascii="Arial" w:cs="Arial" w:eastAsia="Arial" w:hAnsi="Arial"/>
          <w:sz w:val="17"/>
          <w:szCs w:val="17"/>
          <w:color w:val="auto"/>
        </w:rPr>
        <w:t>These dose response curves illustrate that our NBD1 stabilizers work synergistically with complementary modulators, and with the standard of care, to significantly improve CFTR function in preclinical models. Given the correlation seen in our preclinical studies between CFTR function and clinical activity, we believe that achieving target exposure levels for our product candidates in our ongoing and future clinical trials has the potential to translate to significant improvements in sweat chloride and lung function, as measured by FEV</w:t>
      </w:r>
      <w:r>
        <w:rPr>
          <w:rFonts w:ascii="Arial" w:cs="Arial" w:eastAsia="Arial" w:hAnsi="Arial"/>
          <w:sz w:val="22"/>
          <w:szCs w:val="22"/>
          <w:color w:val="auto"/>
          <w:vertAlign w:val="subscript"/>
        </w:rPr>
        <w:t>1</w:t>
      </w:r>
      <w:r>
        <w:rPr>
          <w:rFonts w:ascii="Arial" w:cs="Arial" w:eastAsia="Arial" w:hAnsi="Arial"/>
          <w:sz w:val="17"/>
          <w:szCs w:val="17"/>
          <w:color w:val="auto"/>
        </w:rPr>
        <w:t>, in CF patients.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Preclinical Safety/Pharmacology and Toxicology to Support Clinical Trials</w:t>
      </w:r>
    </w:p>
    <w:p>
      <w:pPr>
        <w:spacing w:after="0" w:line="118" w:lineRule="exact"/>
        <w:rPr>
          <w:sz w:val="20"/>
          <w:szCs w:val="20"/>
          <w:color w:val="auto"/>
        </w:rPr>
      </w:pPr>
    </w:p>
    <w:p>
      <w:pPr>
        <w:jc w:val="both"/>
        <w:ind w:right="200" w:firstLine="627"/>
        <w:spacing w:after="0" w:line="277" w:lineRule="auto"/>
        <w:rPr>
          <w:sz w:val="20"/>
          <w:szCs w:val="20"/>
          <w:color w:val="auto"/>
        </w:rPr>
      </w:pPr>
      <w:r>
        <w:rPr>
          <w:rFonts w:ascii="Arial" w:cs="Arial" w:eastAsia="Arial" w:hAnsi="Arial"/>
          <w:sz w:val="17"/>
          <w:szCs w:val="17"/>
          <w:color w:val="auto"/>
        </w:rPr>
        <w:t>For both SION-719 and SION-451, we conducted standard in vitro and in vivo toxicology and safety pharmacology studies necessary to support first in human studies. The preclinical study results supported early clinical testing above exposure levels that we have predicted can be effective.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NBD1 Stabilizer Candidates</w:t>
      </w:r>
    </w:p>
    <w:p>
      <w:pPr>
        <w:spacing w:after="0" w:line="222" w:lineRule="exact"/>
        <w:rPr>
          <w:sz w:val="20"/>
          <w:szCs w:val="20"/>
          <w:color w:val="auto"/>
        </w:rPr>
      </w:pPr>
    </w:p>
    <w:p>
      <w:pPr>
        <w:ind w:firstLine="627"/>
        <w:spacing w:after="0" w:line="298" w:lineRule="auto"/>
        <w:rPr>
          <w:sz w:val="20"/>
          <w:szCs w:val="20"/>
          <w:color w:val="auto"/>
        </w:rPr>
      </w:pPr>
      <w:r>
        <w:rPr>
          <w:rFonts w:ascii="Arial" w:cs="Arial" w:eastAsia="Arial" w:hAnsi="Arial"/>
          <w:sz w:val="17"/>
          <w:szCs w:val="17"/>
          <w:color w:val="auto"/>
        </w:rPr>
        <w:t>Our portfolio includes additional NBD1 stabilizer candidates with differentiated profiles from SION-719 and SION-451. We have nominated two additional NBD1 stabilizers as development candidates.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Complementary Modulator Programs</w:t>
      </w:r>
    </w:p>
    <w:p>
      <w:pPr>
        <w:spacing w:after="0" w:line="118" w:lineRule="exact"/>
        <w:rPr>
          <w:sz w:val="20"/>
          <w:szCs w:val="20"/>
          <w:color w:val="auto"/>
        </w:rPr>
      </w:pPr>
    </w:p>
    <w:p>
      <w:pPr>
        <w:ind w:right="60" w:firstLine="627"/>
        <w:spacing w:after="0" w:line="266" w:lineRule="auto"/>
        <w:rPr>
          <w:sz w:val="20"/>
          <w:szCs w:val="20"/>
          <w:color w:val="auto"/>
        </w:rPr>
      </w:pPr>
      <w:r>
        <w:rPr>
          <w:rFonts w:ascii="Arial" w:cs="Arial" w:eastAsia="Arial" w:hAnsi="Arial"/>
          <w:sz w:val="17"/>
          <w:szCs w:val="17"/>
          <w:color w:val="auto"/>
        </w:rPr>
        <w:t>There are two types of complementary modulators: correctors, which partially improve CFTR protein folding to aid its trafficking to the cell surface, and potentiators, which increase CFTR channel function by enabling chloride flow through the cell membrane. We have established a pipeline of proprietary complementary modulators, representing three different mechanisms of action: TMD1-directed correctors, an ICL4-directed corrector, and a potentiator. Our two prioritized clinical-stage complementary modulators are SION-2222 and SION-109. We are currently evaluating each of SION-2222 and SION-109 in dual combinations with SION-451 in a Phase 1 trial in healthy volunteers.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Data — Complementary Modulators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TMD1 Programs—SION-2222 and SION-2851</w:t>
      </w:r>
    </w:p>
    <w:p>
      <w:pPr>
        <w:spacing w:after="0" w:line="118"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SION-2222 is currently being evaluated in a dual combination with SION-451 in a Phase 1 healthy volunteer trial. In a Phase 2 clinical trial conducted by AbbVie prior to our in-licensing transaction, SION-2222 demonstrated clinical activity in improving sweat chloride and lung function as part of a combination trial with SION-3067. SION-2222 has been evaluated in Phase 1, Phase 1b and Phase 2 clinical trials involving healthy participants and CF patients. Across these studies, SION-2222 was generally well-tolerated at all doses administered. The majority of adverse events (“AEs”) were mild to moderate in severity. No SAEs were reported in healthy volunteers, and among CF patients, SAEs were reported infrequently and consisted of common manifestations of the underlying CF disease. The PK profile of SION-2222 in CF patients was similar to that observed in healthy volunteers. The activity of SION-2222 in patients with CF has been evaluated in three randomized, double-blind, placebo-controlled Phase 2 trials: trial M19-530, conducted by AbbVie, and trials GLPG-2222-CL-201 and GLPG-2222-CL-202, conducted by Galapagos NV (“Galapagos”).</w:t>
      </w:r>
    </w:p>
    <w:p>
      <w:pPr>
        <w:spacing w:after="0" w:line="388" w:lineRule="exact"/>
        <w:rPr>
          <w:sz w:val="20"/>
          <w:szCs w:val="20"/>
          <w:color w:val="auto"/>
        </w:rPr>
      </w:pPr>
    </w:p>
    <w:p>
      <w:pPr>
        <w:ind w:right="80" w:firstLine="627"/>
        <w:spacing w:after="0" w:line="264" w:lineRule="auto"/>
        <w:rPr>
          <w:sz w:val="20"/>
          <w:szCs w:val="20"/>
          <w:color w:val="auto"/>
        </w:rPr>
      </w:pPr>
      <w:r>
        <w:rPr>
          <w:rFonts w:ascii="Arial" w:cs="Arial" w:eastAsia="Arial" w:hAnsi="Arial"/>
          <w:sz w:val="17"/>
          <w:szCs w:val="17"/>
          <w:color w:val="auto"/>
        </w:rPr>
        <w:t>Trial M19-530 was a Phase 2 dose-ranging trial that evaluated the safety, tolerability and efficacy of SION-3067 alone and in combination with SION-2222 in CF patients that were homozygous for F508del mutation. The primary efficacy endpoint of this trial was absolute change in lung function (ppFEV1), and the secondary efficacy endpoint was improvement in sweat chloride. In this trial, treatment with SION-2222 in combination with SION-3067 was associated with improvements from baseline ppFEV1 and sweat chloride, both compared to placebo, as shown in Figure 25. SION-2222 was generally well tolerated in combination with SION-3067. Most AEs were mild to moderate. Two SAEs were reported in two participants receiving SION-2222 in combination with SION-3067, which investigators considered unrelated to study drug.</w:t>
      </w:r>
    </w:p>
    <w:p>
      <w:pPr>
        <w:spacing w:after="0" w:line="172" w:lineRule="exact"/>
        <w:rPr>
          <w:sz w:val="20"/>
          <w:szCs w:val="20"/>
          <w:color w:val="auto"/>
        </w:rPr>
      </w:pPr>
    </w:p>
    <w:p>
      <w:pPr>
        <w:ind w:firstLine="627"/>
        <w:spacing w:after="0" w:line="250" w:lineRule="auto"/>
        <w:rPr>
          <w:sz w:val="20"/>
          <w:szCs w:val="20"/>
          <w:color w:val="auto"/>
        </w:rPr>
      </w:pPr>
      <w:r>
        <w:rPr>
          <w:rFonts w:ascii="Arial" w:cs="Arial" w:eastAsia="Arial" w:hAnsi="Arial"/>
          <w:sz w:val="17"/>
          <w:szCs w:val="17"/>
          <w:color w:val="auto"/>
        </w:rPr>
        <w:t>Trial GLPG-2222-CL-202 was a Phase 2 dose-ranging trial that evaluated the safety and tolerability and the effect of SION-2222 on CFTR function (as assessed by sweat chloride), lung function (as assessed by ppFEV</w:t>
      </w:r>
      <w:r>
        <w:rPr>
          <w:rFonts w:ascii="Arial" w:cs="Arial" w:eastAsia="Arial" w:hAnsi="Arial"/>
          <w:sz w:val="22"/>
          <w:szCs w:val="22"/>
          <w:color w:val="auto"/>
          <w:vertAlign w:val="subscript"/>
        </w:rPr>
        <w:t>1</w:t>
      </w:r>
      <w:r>
        <w:rPr>
          <w:rFonts w:ascii="Arial" w:cs="Arial" w:eastAsia="Arial" w:hAnsi="Arial"/>
          <w:sz w:val="17"/>
          <w:szCs w:val="17"/>
          <w:color w:val="auto"/>
        </w:rPr>
        <w:t>) and the Cystic Fibrosis Questionnaire— Revised (“CFQ-R”), which measures health-related quality of life, in CF patients that were homozygous for F508del mutation. In this trial, mean sweat chloride concentrations decreased dose-dependently with increasing doses of SION-2222; the decrease was statistically significant in the 200 mg dose group. ppFEV1 and CFQ-R did not significantly improve in any group. SION-2222 was generally well-tolerated in this trial. The majority of reported TEAEs were mild or moderate in severity. SAEs reported were considered not related to study drug.</w:t>
      </w:r>
    </w:p>
    <w:p>
      <w:pPr>
        <w:spacing w:after="0" w:line="180" w:lineRule="exact"/>
        <w:rPr>
          <w:sz w:val="20"/>
          <w:szCs w:val="20"/>
          <w:color w:val="auto"/>
        </w:rPr>
      </w:pPr>
    </w:p>
    <w:p>
      <w:pPr>
        <w:ind w:right="80" w:firstLine="627"/>
        <w:spacing w:after="0" w:line="246" w:lineRule="auto"/>
        <w:rPr>
          <w:sz w:val="20"/>
          <w:szCs w:val="20"/>
          <w:color w:val="auto"/>
        </w:rPr>
      </w:pPr>
      <w:r>
        <w:rPr>
          <w:rFonts w:ascii="Arial" w:cs="Arial" w:eastAsia="Arial" w:hAnsi="Arial"/>
          <w:sz w:val="17"/>
          <w:szCs w:val="17"/>
          <w:color w:val="auto"/>
        </w:rPr>
        <w:t>Trial GLPG-2222-CL-201 was a Phase 2 trial that evaluated the safety and tolerability and the effect of two dose levels of SION-2222 in CF patients that were heterozygous for the F508del mutation and a gating mutation, receiving ivacaftor, on CFTR function (as assessed by sweat chloride), lung function (as assessed by ppFEV</w:t>
      </w:r>
      <w:r>
        <w:rPr>
          <w:rFonts w:ascii="Arial" w:cs="Arial" w:eastAsia="Arial" w:hAnsi="Arial"/>
          <w:sz w:val="22"/>
          <w:szCs w:val="22"/>
          <w:color w:val="auto"/>
          <w:vertAlign w:val="subscript"/>
        </w:rPr>
        <w:t>1</w:t>
      </w:r>
      <w:r>
        <w:rPr>
          <w:rFonts w:ascii="Arial" w:cs="Arial" w:eastAsia="Arial" w:hAnsi="Arial"/>
          <w:sz w:val="17"/>
          <w:szCs w:val="17"/>
          <w:color w:val="auto"/>
        </w:rPr>
        <w:t>) and CFQ-R. In this trial, one SION-2222 treatment group (300 mg once daily) was associated with an improvement in sweat chloride compared to placebo, while other dose treatment groups did not show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80"/>
        <w:spacing w:after="0" w:line="298" w:lineRule="auto"/>
        <w:rPr>
          <w:sz w:val="20"/>
          <w:szCs w:val="20"/>
          <w:color w:val="auto"/>
        </w:rPr>
      </w:pPr>
      <w:r>
        <w:rPr>
          <w:rFonts w:ascii="Arial" w:cs="Arial" w:eastAsia="Arial" w:hAnsi="Arial"/>
          <w:sz w:val="17"/>
          <w:szCs w:val="17"/>
          <w:color w:val="auto"/>
        </w:rPr>
        <w:t>statistically significant changes in sweat chloride. ppFEV1 and CFQ-R did not significantly improve in any group. SION-2222 was generally well-tolerated in this trial. Most TEAEs were mild in severity, and there were no SAEs.</w:t>
      </w:r>
    </w:p>
    <w:p>
      <w:pPr>
        <w:spacing w:after="0" w:line="141"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These Phase 2 results demonstrated that SION-2222 as a single agent increased CFTR activity in patients with the F508del mutation. The activity of SION-2222 in combination with SION-3067 in Trial M19-530 was similar to the activity of approved dual combination modulators, as seen via indirect, cross-trial comparisons and as predicted based on our CFHBE model (Figure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111125</wp:posOffset>
            </wp:positionV>
            <wp:extent cx="5172075" cy="1807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72075" cy="180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7"/>
          <w:szCs w:val="17"/>
          <w:i w:val="1"/>
          <w:iCs w:val="1"/>
          <w:color w:val="auto"/>
        </w:rPr>
        <w:t>Figure 25</w:t>
      </w:r>
    </w:p>
    <w:p>
      <w:pPr>
        <w:spacing w:after="0" w:line="327"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In addition to SION-2222, we licensed SION-2851 from AbbVie in July 2024. SION-2851 is a potent TMD1-directed corrector that has completed a Phase 1 SAD trial in healthy volunteers. The trial was conducted by AbbVie and Galapagos in Belgium in 2018. The primary endpoint was safety and tolerability, assessed by the number of participants with adverse events. Based on its mechanism of action and preclinical studies, we believe it may be potentially synergistic with NBD1 stabilizers.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ICL4 Program—SION-109</w:t>
      </w:r>
    </w:p>
    <w:p>
      <w:pPr>
        <w:spacing w:after="0" w:line="118" w:lineRule="exact"/>
        <w:rPr>
          <w:sz w:val="20"/>
          <w:szCs w:val="20"/>
          <w:color w:val="auto"/>
        </w:rPr>
      </w:pPr>
    </w:p>
    <w:p>
      <w:pPr>
        <w:ind w:right="80" w:firstLine="627"/>
        <w:spacing w:after="0" w:line="298" w:lineRule="auto"/>
        <w:rPr>
          <w:sz w:val="20"/>
          <w:szCs w:val="20"/>
          <w:color w:val="auto"/>
        </w:rPr>
      </w:pPr>
      <w:r>
        <w:rPr>
          <w:rFonts w:ascii="Arial" w:cs="Arial" w:eastAsia="Arial" w:hAnsi="Arial"/>
          <w:sz w:val="17"/>
          <w:szCs w:val="17"/>
          <w:color w:val="auto"/>
        </w:rPr>
        <w:t>We are also advancing SION-109, which targets the ICL4 interface, for development in combination with an NBD1 stabilizer. SION-109 is currently being evaluated in combination with SION-451 in our ongoing Phase 1 dual combination trial.</w:t>
      </w:r>
    </w:p>
    <w:p>
      <w:pPr>
        <w:spacing w:after="0" w:line="141" w:lineRule="exact"/>
        <w:rPr>
          <w:sz w:val="20"/>
          <w:szCs w:val="20"/>
          <w:color w:val="auto"/>
        </w:rPr>
      </w:pPr>
    </w:p>
    <w:p>
      <w:pPr>
        <w:ind w:right="180" w:firstLine="627"/>
        <w:spacing w:after="0" w:line="266" w:lineRule="auto"/>
        <w:rPr>
          <w:sz w:val="20"/>
          <w:szCs w:val="20"/>
          <w:color w:val="auto"/>
        </w:rPr>
      </w:pPr>
      <w:r>
        <w:rPr>
          <w:rFonts w:ascii="Arial" w:cs="Arial" w:eastAsia="Arial" w:hAnsi="Arial"/>
          <w:sz w:val="17"/>
          <w:szCs w:val="17"/>
          <w:color w:val="auto"/>
        </w:rPr>
        <w:t>In December 2024, we completed a randomized, double blind, placebo-controlled Phase 1 clinical trial of SION-109 in healthy participants, following clearance of its Investigational New Drug application ("IND") by the FDA in June 2023. The trial was designed to evaluate the safety, tolerability and PK profile of single and multiple ascending doses of SION-109, administered as an oral suspension. In a Part C of the Phase 1 trial, we evaluated the effect of food on PK and the bioequivalence of a tablet formation compared to the oral suspension used in the Phase 1 SAD and MAD cohorts.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Over 100 healthy adult participants received SION-109 in this Phase 1 trial. The trial was designed to enroll eight participants, randomized</w:t>
      </w:r>
    </w:p>
    <w:p>
      <w:pPr>
        <w:spacing w:after="0" w:line="29" w:lineRule="exact"/>
        <w:rPr>
          <w:sz w:val="20"/>
          <w:szCs w:val="20"/>
          <w:color w:val="auto"/>
        </w:rPr>
      </w:pPr>
    </w:p>
    <w:p>
      <w:pPr>
        <w:jc w:val="both"/>
        <w:ind w:right="200"/>
        <w:spacing w:after="0" w:line="267" w:lineRule="auto"/>
        <w:rPr>
          <w:sz w:val="20"/>
          <w:szCs w:val="20"/>
          <w:color w:val="auto"/>
        </w:rPr>
      </w:pPr>
      <w:r>
        <w:rPr>
          <w:rFonts w:ascii="Arial" w:cs="Arial" w:eastAsia="Arial" w:hAnsi="Arial"/>
          <w:sz w:val="17"/>
          <w:szCs w:val="17"/>
          <w:color w:val="auto"/>
        </w:rPr>
        <w:t>3:1 active:placebo, to each dosing cohort. Six SAD cohorts evaluated single doses from 50 mg to 400 mg. Five MAD cohorts evaluated from 50 mg to 150 mg BID over ten dosing days. Fifteen participants enrolled in the open-label food effect and tablet bioequivalence part evaluating 100 mg single doses each of suspension fasted, tablet fasted, and tablet fed.</w:t>
      </w:r>
    </w:p>
    <w:p>
      <w:pPr>
        <w:spacing w:after="0" w:line="167"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SION-109 was generally well tolerated at all dose levels administered in all parts of this Phase 1 trial. A summary table of reported TEAEs is shown in Figure 26 below. There were no SAEs, and most TEAEs were mild to moderate (Grade 1 or Grade 2). No TEAEs led to the discontinuation of trial drug, and no dose-limiting TEAEs were observed. Sporadic increases in potassium were observed that were determined to be related to sample collection and/or processing. A 150 mg MAD cohort was repeated with revised sampling guidance, and no increased potassium values were observed. Isolated and transient increases in transaminases were observed associated with four AEs in three participants in the MAD and Part C (one Grade 1 AE, two Grade 2 AEs and one Grade 3 AE) whose values returned to the normal range in follow-up. Other liver function tests,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including bilirubin, were unremarkable. There were no clinically meaningful, treatment-emergent trends in other safety parameters, vital signs or electrocardiograms.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100330</wp:posOffset>
            </wp:positionV>
            <wp:extent cx="4932045" cy="2644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32045" cy="2644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(Figure 26. Safety observations in the SAD and Part C portions of the trial were generally consistent with the MAD findings shown.)</w:t>
      </w:r>
    </w:p>
    <w:p>
      <w:pPr>
        <w:spacing w:after="0" w:line="222" w:lineRule="exact"/>
        <w:rPr>
          <w:sz w:val="20"/>
          <w:szCs w:val="20"/>
          <w:color w:val="auto"/>
        </w:rPr>
      </w:pPr>
    </w:p>
    <w:p>
      <w:pPr>
        <w:ind w:right="480" w:firstLine="627"/>
        <w:spacing w:after="0" w:line="298" w:lineRule="auto"/>
        <w:rPr>
          <w:sz w:val="20"/>
          <w:szCs w:val="20"/>
          <w:color w:val="auto"/>
        </w:rPr>
      </w:pPr>
      <w:r>
        <w:rPr>
          <w:rFonts w:ascii="Arial" w:cs="Arial" w:eastAsia="Arial" w:hAnsi="Arial"/>
          <w:sz w:val="17"/>
          <w:szCs w:val="17"/>
          <w:color w:val="auto"/>
        </w:rPr>
        <w:t>Increasing exposure was observed with increasing single and multiple doses. The target exposure for SION-109 as part of a dual combination with SION-451 or SION-719 was achieved with multiple doses of 75 mg BID and higher doses.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PK summary of SION-109 is shown in Figure 27 below. The PK observed was consistent with BID dosing.</w:t>
      </w: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798830</wp:posOffset>
            </wp:positionV>
            <wp:extent cx="4848860" cy="25444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48860" cy="254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right="60" w:hanging="38"/>
        <w:spacing w:after="0" w:line="250" w:lineRule="auto"/>
        <w:rPr>
          <w:sz w:val="20"/>
          <w:szCs w:val="20"/>
          <w:color w:val="auto"/>
        </w:rPr>
      </w:pPr>
      <w:r>
        <w:rPr>
          <w:rFonts w:ascii="Arial" w:cs="Arial" w:eastAsia="Arial" w:hAnsi="Arial"/>
          <w:sz w:val="17"/>
          <w:szCs w:val="17"/>
          <w:i w:val="1"/>
          <w:iCs w:val="1"/>
          <w:color w:val="auto"/>
        </w:rPr>
        <w:t>(Figure 27. Each solid line shows mean concentration data for a dosing cohort over ten days of dosing. Data points for Day 2 through Day 9 are trough (pre-dose) concentrations. The dotted line represents the Cminimum (trough) PK exposure target for SION-109, with the aim to achieve</w:t>
      </w:r>
    </w:p>
    <w:p>
      <w:pPr>
        <w:jc w:val="center"/>
        <w:ind w:left="360" w:right="40"/>
        <w:spacing w:after="0" w:line="246" w:lineRule="auto"/>
        <w:rPr>
          <w:sz w:val="20"/>
          <w:szCs w:val="20"/>
          <w:color w:val="auto"/>
        </w:rPr>
      </w:pPr>
      <w:r>
        <w:rPr>
          <w:rFonts w:ascii="Arial" w:cs="Arial" w:eastAsia="Arial" w:hAnsi="Arial"/>
          <w:sz w:val="17"/>
          <w:szCs w:val="17"/>
          <w:i w:val="1"/>
          <w:iCs w:val="1"/>
          <w:color w:val="auto"/>
        </w:rPr>
        <w:t>targeted exposure to deliver clinically meaningful benefit when administered in a proprietary dual combination, based on CFHBE assay data. PK observations in the SAD and Part C portions of the trial were generally consistent with the MAD findings shown.)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Potentiator Program—SION-3067</w:t>
      </w:r>
    </w:p>
    <w:p>
      <w:pPr>
        <w:spacing w:after="0" w:line="118" w:lineRule="exact"/>
        <w:rPr>
          <w:sz w:val="20"/>
          <w:szCs w:val="20"/>
          <w:color w:val="auto"/>
        </w:rPr>
      </w:pPr>
    </w:p>
    <w:p>
      <w:pPr>
        <w:ind w:right="260" w:firstLine="627"/>
        <w:spacing w:after="0" w:line="264" w:lineRule="auto"/>
        <w:rPr>
          <w:sz w:val="20"/>
          <w:szCs w:val="20"/>
          <w:color w:val="auto"/>
        </w:rPr>
      </w:pPr>
      <w:r>
        <w:rPr>
          <w:rFonts w:ascii="Arial" w:cs="Arial" w:eastAsia="Arial" w:hAnsi="Arial"/>
          <w:sz w:val="17"/>
          <w:szCs w:val="17"/>
          <w:color w:val="auto"/>
        </w:rPr>
        <w:t>SION-3067 is a clinical-stage potentiator of CFTR gating activity that we have licensed from AbbVie. SION-3067 provides our pipeline with a third mechanism of action complementary to NBD1 stabilizers and future opportunities to develop additional combination products to potentially expand our CF franchise. SION-3067 has completed Phase 1, Phase 1b and Phase 2 trials and was generally well-tolerated in CF patients and healthy volunteers, with improvements observed in sweat chloride levels in combination with SION-2222. When SION-3067 was given as a monotherapy or in combination with SION-2222, all AEs were mild to moderate. The PK profile in CF patients was similar in healthy volunteers.</w:t>
      </w:r>
    </w:p>
    <w:p>
      <w:pPr>
        <w:spacing w:after="0" w:line="172" w:lineRule="exact"/>
        <w:rPr>
          <w:sz w:val="20"/>
          <w:szCs w:val="20"/>
          <w:color w:val="auto"/>
        </w:rPr>
      </w:pPr>
    </w:p>
    <w:p>
      <w:pPr>
        <w:ind w:firstLine="627"/>
        <w:spacing w:after="0" w:line="230" w:lineRule="auto"/>
        <w:rPr>
          <w:sz w:val="20"/>
          <w:szCs w:val="20"/>
          <w:color w:val="auto"/>
        </w:rPr>
      </w:pPr>
      <w:r>
        <w:rPr>
          <w:rFonts w:ascii="Arial" w:cs="Arial" w:eastAsia="Arial" w:hAnsi="Arial"/>
          <w:sz w:val="17"/>
          <w:szCs w:val="17"/>
          <w:color w:val="auto"/>
        </w:rPr>
        <w:t>The activity of SION-3067 in patients with CF was evaluated in a randomized, double-blind, placebo-controlled Phase 2 trial in combination with SION-2222, as summarized above. Combination treatment of SION-3067 150 mg QD with SION-2222 resulted in improvements in FEV</w:t>
      </w:r>
      <w:r>
        <w:rPr>
          <w:rFonts w:ascii="Arial" w:cs="Arial" w:eastAsia="Arial" w:hAnsi="Arial"/>
          <w:sz w:val="22"/>
          <w:szCs w:val="22"/>
          <w:color w:val="auto"/>
          <w:vertAlign w:val="subscript"/>
        </w:rPr>
        <w:t>1</w:t>
      </w:r>
      <w:r>
        <w:rPr>
          <w:rFonts w:ascii="Arial" w:cs="Arial" w:eastAsia="Arial" w:hAnsi="Arial"/>
          <w:sz w:val="17"/>
          <w:szCs w:val="17"/>
          <w:color w:val="auto"/>
        </w:rPr>
        <w:t xml:space="preserve"> and sweat chloride levels in the homozygous F508del population. As expected, treatment with 50 mg QD or 150 mg QD SION-3067 monotherapy for 28 days did not result in improvements in FEV</w:t>
      </w:r>
      <w:r>
        <w:rPr>
          <w:rFonts w:ascii="Arial" w:cs="Arial" w:eastAsia="Arial" w:hAnsi="Arial"/>
          <w:sz w:val="22"/>
          <w:szCs w:val="22"/>
          <w:color w:val="auto"/>
          <w:vertAlign w:val="subscript"/>
        </w:rPr>
        <w:t>1</w:t>
      </w:r>
      <w:r>
        <w:rPr>
          <w:rFonts w:ascii="Arial" w:cs="Arial" w:eastAsia="Arial" w:hAnsi="Arial"/>
          <w:sz w:val="17"/>
          <w:szCs w:val="17"/>
          <w:color w:val="auto"/>
        </w:rPr>
        <w:t xml:space="preserve"> or sweat chloride levels.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24"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We have leveraged multiple third-party manufacturers to support the manufacturing of our product candidates for clinical trials and, if we receive regulatory approval, we intend to rely on third parties for commercial manufacture. We do not own or operate, and currently have no plans to establish, any manufacturing facilities. We expect this strategy will enable us to maintain a more efficient infrastructure, outsourcing instead of building manufacturing and supply chain capabilities, while simultaneously enabling us to focus our expertise on the clinical development of our product candidates. We expect to enter into commercial supply agreements with such manufacturers prior to any potential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Commercialization</w:t>
      </w:r>
    </w:p>
    <w:p>
      <w:pPr>
        <w:spacing w:after="0" w:line="224" w:lineRule="exact"/>
        <w:rPr>
          <w:sz w:val="20"/>
          <w:szCs w:val="20"/>
          <w:color w:val="auto"/>
        </w:rPr>
      </w:pPr>
    </w:p>
    <w:p>
      <w:pPr>
        <w:ind w:right="20" w:firstLine="627"/>
        <w:spacing w:after="0" w:line="266" w:lineRule="auto"/>
        <w:rPr>
          <w:sz w:val="20"/>
          <w:szCs w:val="20"/>
          <w:color w:val="auto"/>
        </w:rPr>
      </w:pPr>
      <w:r>
        <w:rPr>
          <w:rFonts w:ascii="Arial" w:cs="Arial" w:eastAsia="Arial" w:hAnsi="Arial"/>
          <w:sz w:val="17"/>
          <w:szCs w:val="17"/>
          <w:color w:val="auto"/>
        </w:rPr>
        <w:t>We have exclusive worldwide commercial rights to our product candidates. Given our stage of development, we have not yet established a commercial organization or distribution capabilities. The CF patient populations are well-characterized and clearly identified in the U.S., Canada, Europe, Australia, and several other regions around the world, with highly active and informed CF patient advocacy groups. Most CF patients are treated at a limited number of centralized CF patient care centers by teams of healthcare professionals who are experts in and dedicated to treating CF.</w:t>
      </w:r>
    </w:p>
    <w:p>
      <w:pPr>
        <w:spacing w:after="0" w:line="170"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We plan to independently commercialize our products, if approved, in the U.S. and in other regions where we determine it makes commercial sense to do so. Given the established CF patient care centers and the concentrated group of prescribing healthcare professionals, we believe we could commercialize our product(s) for CF with a relatively small specialty sales force focused on CF treatment centers and prescribers. At the appropriate time, and subject to regulatory approval and the scope of any approved indication, we plan to recruit a sales force and expand our medical affairs team and take other steps to establish the necessary commercial infrastructure. As our product candidates advance through our pipeline, our plans may change with respect to the timing, scope and manner of commercialization.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0" w:lineRule="exact"/>
        <w:rPr>
          <w:sz w:val="20"/>
          <w:szCs w:val="20"/>
          <w:color w:val="auto"/>
        </w:rPr>
      </w:pPr>
    </w:p>
    <w:p>
      <w:pPr>
        <w:ind w:right="160" w:firstLine="627"/>
        <w:spacing w:after="0" w:line="266"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we have competitive advantages, we face substantial competition from many different sources, including major pharmaceutical, specialty pharmaceutical and biotechnology companies, academic research institutions and governmental agencies, and public and private research institutions. This may include other small-molecule drug discovery companies using similar approaches or other types of therapies, such as small molecule, gene therapy, gene editing and/or mRNA therapies.</w:t>
      </w:r>
    </w:p>
    <w:p>
      <w:pPr>
        <w:spacing w:after="0" w:line="170"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In particular, we expect to compete with Vertex, which has multiple approved products, as well as additional product candidates in development, for the treatment of CF that would compete with our product candidates, if approved. Vertex is the manufacturer of the five approved CFTR modulators, including the standard of care, Trikafta, and the triple modulator combination, Alyftrek, approved in December 2024. Any product candidates that we successfully develop and commercialize will compete with these existing therapies, as well as any new therapies that may become available in the future that are approved to treat the same diseases for which we may obtain approval for our product candidates.</w:t>
      </w:r>
    </w:p>
    <w:p>
      <w:pPr>
        <w:spacing w:after="0" w:line="170" w:lineRule="exact"/>
        <w:rPr>
          <w:sz w:val="20"/>
          <w:szCs w:val="20"/>
          <w:color w:val="auto"/>
        </w:rPr>
      </w:pPr>
    </w:p>
    <w:p>
      <w:pPr>
        <w:ind w:right="80" w:firstLine="627"/>
        <w:spacing w:after="0" w:line="266" w:lineRule="auto"/>
        <w:rPr>
          <w:sz w:val="20"/>
          <w:szCs w:val="20"/>
          <w:color w:val="auto"/>
        </w:rPr>
      </w:pPr>
      <w:r>
        <w:rPr>
          <w:rFonts w:ascii="Arial" w:cs="Arial" w:eastAsia="Arial" w:hAnsi="Arial"/>
          <w:sz w:val="17"/>
          <w:szCs w:val="17"/>
          <w:color w:val="auto"/>
        </w:rPr>
        <w:t>We may also face competition from other companies attempting to develop therapeutics targeting CF. For example, in October 2025, Fair Therapeutics, Inc. announced final results from a Phase 2b trial evaluating its CFTR modulators. Multiple companies are developing CF-utilizing nucleic acid therapies, which are compounds that allow expression of a functional CFTR protein and are relevant for the more than 5,000 people with CF who cannot make full-length CFTR protein and are not eligible for CFTR modulators. In addition, multiple companies are developing candidates for gene therapy approaches to treat CF.</w:t>
      </w:r>
    </w:p>
    <w:p>
      <w:pPr>
        <w:spacing w:after="0" w:line="170" w:lineRule="exact"/>
        <w:rPr>
          <w:sz w:val="20"/>
          <w:szCs w:val="20"/>
          <w:color w:val="auto"/>
        </w:rPr>
      </w:pPr>
    </w:p>
    <w:p>
      <w:pPr>
        <w:ind w:right="120" w:firstLine="627"/>
        <w:spacing w:after="0" w:line="264" w:lineRule="auto"/>
        <w:rPr>
          <w:sz w:val="20"/>
          <w:szCs w:val="20"/>
          <w:color w:val="auto"/>
        </w:rPr>
      </w:pPr>
      <w:r>
        <w:rPr>
          <w:rFonts w:ascii="Arial" w:cs="Arial" w:eastAsia="Arial" w:hAnsi="Arial"/>
          <w:sz w:val="17"/>
          <w:szCs w:val="17"/>
          <w:color w:val="auto"/>
        </w:rPr>
        <w:t>Some of our competitors have significantly greater financial resources than we do and an established presence in the market. Our competitors may have greater expertise in research and development, manufacturing, obtaining regulatory approvals and marketing approved products and may obtain regulatory approvals for their products more rapidly than we can, if at all.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and obtaining manufacturing slots at contract manufacturing organizations.</w:t>
      </w:r>
    </w:p>
    <w:p>
      <w:pPr>
        <w:spacing w:after="0" w:line="172" w:lineRule="exact"/>
        <w:rPr>
          <w:sz w:val="20"/>
          <w:szCs w:val="20"/>
          <w:color w:val="auto"/>
        </w:rPr>
      </w:pPr>
    </w:p>
    <w:p>
      <w:pPr>
        <w:ind w:right="280" w:firstLine="627"/>
        <w:spacing w:after="0" w:line="277" w:lineRule="auto"/>
        <w:rPr>
          <w:sz w:val="20"/>
          <w:szCs w:val="20"/>
          <w:color w:val="auto"/>
        </w:rPr>
      </w:pPr>
      <w:r>
        <w:rPr>
          <w:rFonts w:ascii="Arial" w:cs="Arial" w:eastAsia="Arial" w:hAnsi="Arial"/>
          <w:sz w:val="17"/>
          <w:szCs w:val="17"/>
          <w:color w:val="auto"/>
        </w:rPr>
        <w:t>If our product candidates do not offer advantages over available products, we may not be able to successfully compete against current and future competitors. The key factors affecting the success of our products, if approved, are likely to be their potential efficacy, safety, tolerability, convenience and availability of reimbursement.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0"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We strive to protect and enhance the intellectual property and proprietary technology that we consider important to our business, including by pursuing patent applications that cover our product candidates and methods of using the same, as well as any other relevant inventions and improvements that we believe to be commercially important to the development of our business. We also rely on trade secrets relating to our proprietary know-how, continuing innovation and in-licensing opportunities to develop, strengthen and maintain our proprietary and intellectual property position. We additionally may rely on regulatory protection afforded through data exclusivity, market exclusivity and patent term extensions, where available.</w:t>
      </w:r>
    </w:p>
    <w:p>
      <w:pPr>
        <w:spacing w:after="0" w:line="172" w:lineRule="exact"/>
        <w:rPr>
          <w:sz w:val="20"/>
          <w:szCs w:val="20"/>
          <w:color w:val="auto"/>
        </w:rPr>
      </w:pPr>
    </w:p>
    <w:p>
      <w:pPr>
        <w:ind w:right="140" w:firstLine="627"/>
        <w:spacing w:after="0" w:line="261" w:lineRule="auto"/>
        <w:rPr>
          <w:sz w:val="20"/>
          <w:szCs w:val="20"/>
          <w:color w:val="auto"/>
        </w:rPr>
      </w:pPr>
      <w:r>
        <w:rPr>
          <w:rFonts w:ascii="Arial" w:cs="Arial" w:eastAsia="Arial" w:hAnsi="Arial"/>
          <w:sz w:val="17"/>
          <w:szCs w:val="17"/>
          <w:color w:val="auto"/>
        </w:rPr>
        <w:t>Our commercial success may depend in part on our ability to: obtain, maintain, enforce and protect our intellectual property and other proprietary rights for commercially important technology, inventions and know-how related to our business; defend and enforce any patents we may own or in-license in the future; prevent others from infringing any patents we may own or in-license in the future; preserve the confidentiality of our trade secrets; and operate without infringing the valid enforceable patents and proprietary rights of third parties. Our ability to limit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172" w:lineRule="exact"/>
        <w:rPr>
          <w:sz w:val="20"/>
          <w:szCs w:val="20"/>
          <w:color w:val="auto"/>
        </w:rPr>
      </w:pPr>
    </w:p>
    <w:p>
      <w:pPr>
        <w:ind w:right="360" w:firstLine="627"/>
        <w:spacing w:after="0" w:line="298" w:lineRule="auto"/>
        <w:rPr>
          <w:sz w:val="20"/>
          <w:szCs w:val="20"/>
          <w:color w:val="auto"/>
        </w:rPr>
      </w:pPr>
      <w:r>
        <w:rPr>
          <w:rFonts w:ascii="Arial" w:cs="Arial" w:eastAsia="Arial" w:hAnsi="Arial"/>
          <w:sz w:val="17"/>
          <w:szCs w:val="17"/>
          <w:color w:val="auto"/>
        </w:rPr>
        <w:t>Patent expiration dates noted in the following paragraphs refer to statutory expiration dates and do not take into account any potential patent term adjustment or extension that may be available.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NBD1 Stabilizers</w:t>
      </w:r>
    </w:p>
    <w:p>
      <w:pPr>
        <w:spacing w:after="0" w:line="222"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We co-own with Sanofi a patent family that discloses and covers each of SION-719 and SION-451 and methods of using SION-719 and SION-451 for the treatment of CF. The patent family has entered the national phase and is pending in the United States, Argentina, Australia, Brazil, Canada, Chile, China, Colombia, Ecuador, Egypt, Eurasian Patent Organization, European Patent Office, Hong Kong, India, Israel, Jordan, Japan, Mexico, New Zealand, Oman, Peru, Qatar, Saudi Arabia, Singapore, South Africa, South Korea, Taiwan, and the United Arab Emirates. The statutory expiration for this family is September 2043. We own a non-provisional patent application that discloses and claims the use of our NBD1 stabilizer product candidates in combination with other agents for the treatment of CF, which has a statutory expiration of March 2045.</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Complementary Modulators</w:t>
      </w:r>
    </w:p>
    <w:p>
      <w:pPr>
        <w:spacing w:after="0" w:line="222" w:lineRule="exact"/>
        <w:rPr>
          <w:sz w:val="20"/>
          <w:szCs w:val="20"/>
          <w:color w:val="auto"/>
        </w:rPr>
      </w:pPr>
    </w:p>
    <w:p>
      <w:pPr>
        <w:ind w:right="100" w:firstLine="627"/>
        <w:spacing w:after="0" w:line="264" w:lineRule="auto"/>
        <w:rPr>
          <w:sz w:val="20"/>
          <w:szCs w:val="20"/>
          <w:color w:val="auto"/>
        </w:rPr>
      </w:pPr>
      <w:r>
        <w:rPr>
          <w:rFonts w:ascii="Arial" w:cs="Arial" w:eastAsia="Arial" w:hAnsi="Arial"/>
          <w:sz w:val="17"/>
          <w:szCs w:val="17"/>
          <w:color w:val="auto"/>
        </w:rPr>
        <w:t>We exclusively license from Sanofi one patent family that discloses and covers SION-109 and methods of using SION-109 for the treatment of CF. The patent family has entered national phase and is pending in the U.S., the European Patent Office, African Regional Industrial Property Organization, African Intellectual Property Organization, Algeria, Australia, Bahrain, Brazil, Canada, Chile, China, Colombia, Eurasian Patent Office, Ecuador, Egypt, Guatemala, Hong Kong, Honduras, Israel, India, Jordan, Japan, Kuwait, Mexico, Malaysia, New Zealand, Nigeria, Oman, Panama, Peru, Philippines, Saudi Arabia, Singapore, South Africa, South Korea, Sri Lanka, Thailand and the United Arab Emirates. The statutory expiration for this family is November 2040.</w:t>
      </w:r>
    </w:p>
    <w:p>
      <w:pPr>
        <w:spacing w:after="0" w:line="172" w:lineRule="exact"/>
        <w:rPr>
          <w:sz w:val="20"/>
          <w:szCs w:val="20"/>
          <w:color w:val="auto"/>
        </w:rPr>
      </w:pPr>
    </w:p>
    <w:p>
      <w:pPr>
        <w:ind w:right="40" w:firstLine="627"/>
        <w:spacing w:after="0" w:line="261" w:lineRule="auto"/>
        <w:rPr>
          <w:sz w:val="20"/>
          <w:szCs w:val="20"/>
          <w:color w:val="auto"/>
        </w:rPr>
      </w:pPr>
      <w:r>
        <w:rPr>
          <w:rFonts w:ascii="Arial" w:cs="Arial" w:eastAsia="Arial" w:hAnsi="Arial"/>
          <w:sz w:val="17"/>
          <w:szCs w:val="17"/>
          <w:color w:val="auto"/>
        </w:rPr>
        <w:t>We exclusively license from AbbVie one patent family that discloses and covers SION-2222 and methods of using SION-2222 for the treatment of CF. The patent family includes granted patents in the United States, Argentina, Australia, Austria, Belgium, Brazil, Bulgaria, Canada, Chile, China, Colombia, Costa Rica, Croatia, Czech Republic, Denmark, Dominican Republic, Estonia, Finland, France, Germany, Greece, Hong Kong, Hungary, India, Ireland, Israel, Italy, Japan, Latvia, Liechtenstein, Lithuania, Luxembourg, Malta, Mexico, Monaco, Netherlands, Norway, Panama, Peru, Philippines, Poland, Portugal, Romania, Russia, Singapore, Slovakia, Slovenia, South Africa, South Korea, Spain, Sweden, Switzerland, Taiwan, Turkey, Ukraine, United Kingdom, Uruguay, and Vietnam, and has a statutory expiration date of October 2035. We exclusively license from AbbVie one patent family that discloses and covers SION-2851 and methods of using SION-2851 for the treatment of CF. The patent family includes granted patents in the United States, Argentina, Australia, Brazil, Canada, Chile, China, Colombia, Costa Rica, Dominican Republic, France, Germany, India, Israel, Italy, Japan,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00"/>
        <w:spacing w:after="0" w:line="298" w:lineRule="auto"/>
        <w:rPr>
          <w:sz w:val="20"/>
          <w:szCs w:val="20"/>
          <w:color w:val="auto"/>
        </w:rPr>
      </w:pPr>
      <w:r>
        <w:rPr>
          <w:rFonts w:ascii="Arial" w:cs="Arial" w:eastAsia="Arial" w:hAnsi="Arial"/>
          <w:sz w:val="17"/>
          <w:szCs w:val="17"/>
          <w:color w:val="auto"/>
        </w:rPr>
        <w:t>Malaysia, Mexico, New Zealand, Pakistan, Panama, Peru, Philippines, Russia, Singapore, South Africa, South Korea, Spain, Taiwan, Ukraine, United Kingdom, Uruguay, and Vietnam, and has a statutory expiration date of July 2036.</w:t>
      </w:r>
    </w:p>
    <w:p>
      <w:pPr>
        <w:spacing w:after="0" w:line="141" w:lineRule="exact"/>
        <w:rPr>
          <w:sz w:val="20"/>
          <w:szCs w:val="20"/>
          <w:color w:val="auto"/>
        </w:rPr>
      </w:pPr>
    </w:p>
    <w:p>
      <w:pPr>
        <w:ind w:right="240" w:firstLine="627"/>
        <w:spacing w:after="0" w:line="262" w:lineRule="auto"/>
        <w:rPr>
          <w:sz w:val="20"/>
          <w:szCs w:val="20"/>
          <w:color w:val="auto"/>
        </w:rPr>
      </w:pPr>
      <w:r>
        <w:rPr>
          <w:rFonts w:ascii="Arial" w:cs="Arial" w:eastAsia="Arial" w:hAnsi="Arial"/>
          <w:sz w:val="17"/>
          <w:szCs w:val="17"/>
          <w:color w:val="auto"/>
        </w:rPr>
        <w:t>We exclusively license from AbbVie one patent family that discloses and covers SION-3067 and methods of using SION-3067 for the treatment of CF. The patent family includes granted patents in the United States, Albania, Australia, Austria, Belgium, Brazil, Bulgaria, Chile, China, Colombia, Costa Rica, Croatia, Cyprus, Czech Republic, Denmark, Dominican Republic, Estonia, Finland, France, Germany, Greece, Hong Kong, Hungary, Iceland, India, Ireland, Israel, Italy, Japan, Latvia, Liechtenstein, Lithuania, Luxembourg, Macau, Malta, Mexico, Monaco, Netherlands, New Zealand, North Macedonia, Norway, Panama, Peru, Philippines, Poland, Portugal, Romania, Russia, San Marino, Serbia, Singapore, Slovakia, Slovenia, South Africa, South Korea, Spain, Sweden, Switzerland, Turkey, United Kingdom, and Vietnam, a pending application in Canada and Ecuador, and has a statutory expiration date of May 2037. Additionally, the patent family includes granted patents in Argentina and Taiwan, each of which has a statutory expiration date of June 2037.</w:t>
      </w:r>
    </w:p>
    <w:p>
      <w:pPr>
        <w:spacing w:after="0" w:line="173" w:lineRule="exact"/>
        <w:rPr>
          <w:sz w:val="20"/>
          <w:szCs w:val="20"/>
          <w:color w:val="auto"/>
        </w:rPr>
      </w:pPr>
    </w:p>
    <w:p>
      <w:pPr>
        <w:ind w:right="100" w:firstLine="627"/>
        <w:spacing w:after="0" w:line="270" w:lineRule="auto"/>
        <w:rPr>
          <w:sz w:val="20"/>
          <w:szCs w:val="20"/>
          <w:color w:val="auto"/>
        </w:rPr>
      </w:pPr>
      <w:r>
        <w:rPr>
          <w:rFonts w:ascii="Arial" w:cs="Arial" w:eastAsia="Arial" w:hAnsi="Arial"/>
          <w:sz w:val="17"/>
          <w:szCs w:val="17"/>
          <w:color w:val="auto"/>
        </w:rPr>
        <w:t>We own two patent applications that each disclose and contain claims that recite the use of our NBD1 stabilizer product candidates in combination with SION-109, SION-2222, SION-3067, Trikafta and/or other modulators for the treatment of CF. The first is a Patent Cooperation Treaty international application and has a statutory expiration of October 2043, and the second is a non-provisional patent application (discussed above), which has a statutory expiration of March 2045.</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Licensing and Collaboration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Sanofi License Agreement</w:t>
      </w:r>
    </w:p>
    <w:p>
      <w:pPr>
        <w:spacing w:after="0" w:line="222" w:lineRule="exact"/>
        <w:rPr>
          <w:sz w:val="20"/>
          <w:szCs w:val="20"/>
          <w:color w:val="auto"/>
        </w:rPr>
      </w:pPr>
    </w:p>
    <w:p>
      <w:pPr>
        <w:ind w:right="40" w:firstLine="627"/>
        <w:spacing w:after="0" w:line="263" w:lineRule="auto"/>
        <w:rPr>
          <w:sz w:val="20"/>
          <w:szCs w:val="20"/>
          <w:color w:val="auto"/>
        </w:rPr>
      </w:pPr>
      <w:r>
        <w:rPr>
          <w:rFonts w:ascii="Arial" w:cs="Arial" w:eastAsia="Arial" w:hAnsi="Arial"/>
          <w:sz w:val="17"/>
          <w:szCs w:val="17"/>
          <w:color w:val="auto"/>
        </w:rPr>
        <w:t>On December 20, 2019, we entered into a license agreement, as amended by Amendment No. 1 dated May 14, 2020, Amendment No. 2 dated June 8, 2020, Amendment No. 3 dated December 14, 2021, Amendment No. 4 dated January 28, 2022, Amendment No. 5 dated February 21, 2023 and Amendment No. 6 dated October 28, 2024 (as amended, the “Sanofi License Agreement”), with Sanofi, pursuant to which we have been granted an exclusive, worldwide license to develop, commercialize, manufacture, use, hold, keep, register or dispose of certain compounds, patents and proprietary information and inventions, in each case for therapeutic, prophylactic, prognostic and diagnostic purposes in or for humans, subject to retained rights. The licensed and derived rights are directed, among other things, to CFTR modulator therapies which are being utilized in SION-719, SION-109 and SION-451.</w:t>
      </w:r>
    </w:p>
    <w:p>
      <w:pPr>
        <w:spacing w:after="0" w:line="171" w:lineRule="exact"/>
        <w:rPr>
          <w:sz w:val="20"/>
          <w:szCs w:val="20"/>
          <w:color w:val="auto"/>
        </w:rPr>
      </w:pPr>
    </w:p>
    <w:p>
      <w:pPr>
        <w:ind w:right="60" w:firstLine="627"/>
        <w:spacing w:after="0" w:line="270" w:lineRule="auto"/>
        <w:rPr>
          <w:sz w:val="20"/>
          <w:szCs w:val="20"/>
          <w:color w:val="auto"/>
        </w:rPr>
      </w:pPr>
      <w:r>
        <w:rPr>
          <w:rFonts w:ascii="Arial" w:cs="Arial" w:eastAsia="Arial" w:hAnsi="Arial"/>
          <w:sz w:val="17"/>
          <w:szCs w:val="17"/>
          <w:color w:val="auto"/>
        </w:rPr>
        <w:t>Pursuant to the terms of the Sanofi License Agreement, we must use commercially reasonable efforts to develop, pursue regulatory approval for and commercialize a licensed product. Sanofi and its affiliates retain the right to practice under the licensed patents and use the licensed know-how solely to conduct non-clinical research for all therapeutic, prophylactic, prognostic and diagnostic uses in or for humans, other than for CF; provided, however, that Sanofi will not file any patents that claim a licensed compound.</w:t>
      </w:r>
    </w:p>
    <w:p>
      <w:pPr>
        <w:spacing w:after="0" w:line="165"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As initial consideration for the license, we paid a non-refundable, upfront payment of $1.5 million, as well as a reimbursement of $0.3 million for Sanofi’s research and development expenses. In addition, we are required to pay Sanofi a total of up to $40.0 million upon achievement of certain late-stage developmental and commercial milestones. None of such milestones have been achieved to date. We are also required to pay royalties to Sanofi in the low single-digit percentage range based on net sales of licensed products, subject to customary reductions and offsets. Such royalty payments shall be reduced for products covered by derived patents. The royalty term will terminate on a product-by-product and country-by-country basis upon the later of (i) the expiration of the last-to -expire valid claim within the relevant licensed patent rights, (ii) the expiration of regulatory exclusivity in such country for such licensed product and (iii) the tenth anniversary of the first commercial sale of a licensed product in such country.</w:t>
      </w:r>
    </w:p>
    <w:p>
      <w:pPr>
        <w:spacing w:after="0" w:line="386"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We are entitled to sublicense the rights granted to us under the Sanofi License Agreement under certain circumstances, provided that any such sublicense must be consistent with the terms of the Sanofi License Agreement. If we receive sublicense income from any such sublicense, we are required to pay Sanofi a low double digit percentage of such sublicense income.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We have also granted Sanofi an exclusive option to purchase, at a defined price, any priority review voucher (“PRV”) granted to us as a result of the development of the licensed compounds or products. In the event that Sanofi does not exercise its option with respect to any PRV, we may (x) use the PRV, in which case we must pay Sanofi a high seven-digit amount or (y) sell the PRV to a third party, in which case we must share a sub-teen double-digit percentage of the sale consideration with Sanofi.</w:t>
      </w:r>
    </w:p>
    <w:p>
      <w:pPr>
        <w:spacing w:after="0" w:line="165" w:lineRule="exact"/>
        <w:rPr>
          <w:sz w:val="20"/>
          <w:szCs w:val="20"/>
          <w:color w:val="auto"/>
        </w:rPr>
      </w:pPr>
    </w:p>
    <w:p>
      <w:pPr>
        <w:ind w:right="80" w:firstLine="627"/>
        <w:spacing w:after="0" w:line="277" w:lineRule="auto"/>
        <w:rPr>
          <w:sz w:val="20"/>
          <w:szCs w:val="20"/>
          <w:color w:val="auto"/>
        </w:rPr>
      </w:pPr>
      <w:r>
        <w:rPr>
          <w:rFonts w:ascii="Arial" w:cs="Arial" w:eastAsia="Arial" w:hAnsi="Arial"/>
          <w:sz w:val="17"/>
          <w:szCs w:val="17"/>
          <w:color w:val="auto"/>
        </w:rPr>
        <w:t>We have the right, but not the obligation, to prepare, file, prosecute and maintain the licensed patents and product trademarks at our own cost. We have the first right to enforce and defend any licensed patents, with Sanofi having back-up enforcement and defense rights. We also have the sole right to enforce and defend any product trademarks at our sole cost and expense.</w:t>
      </w:r>
    </w:p>
    <w:p>
      <w:pPr>
        <w:spacing w:after="0" w:line="159" w:lineRule="exact"/>
        <w:rPr>
          <w:sz w:val="20"/>
          <w:szCs w:val="20"/>
          <w:color w:val="auto"/>
        </w:rPr>
      </w:pPr>
    </w:p>
    <w:p>
      <w:pPr>
        <w:ind w:right="60" w:firstLine="627"/>
        <w:spacing w:after="0" w:line="264" w:lineRule="auto"/>
        <w:rPr>
          <w:sz w:val="20"/>
          <w:szCs w:val="20"/>
          <w:color w:val="auto"/>
        </w:rPr>
      </w:pPr>
      <w:r>
        <w:rPr>
          <w:rFonts w:ascii="Arial" w:cs="Arial" w:eastAsia="Arial" w:hAnsi="Arial"/>
          <w:sz w:val="17"/>
          <w:szCs w:val="17"/>
          <w:color w:val="auto"/>
        </w:rPr>
        <w:t>We have the right to terminate the Sanofi License Agreement for convenience, subject to a 90-day notice period. Sanofi has customary termination rights under the Sanofi License Agreement, including for our material breach, payment default, bankruptcy or challenge of the validity of any patent right, subject to specified notice and cure periods. Unless earlier terminated, the Sanofi License Agreement will expire in each country upon the expiration of the last-to-expire royalty term in such country and, with respect to the Sanofi License Agreement in its entirety, upon the expiration of the royalty term for the last licensed product for which there has been a first commercial sale. Upon expiration of the Sanofi License Agreement, the license granted to us will become non-exclusive, royalty-free, fully paid-up and perpetual.</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CFF Payment Agreement</w:t>
      </w:r>
    </w:p>
    <w:p>
      <w:pPr>
        <w:spacing w:after="0" w:line="222" w:lineRule="exact"/>
        <w:rPr>
          <w:sz w:val="20"/>
          <w:szCs w:val="20"/>
          <w:color w:val="auto"/>
        </w:rPr>
      </w:pPr>
    </w:p>
    <w:p>
      <w:pPr>
        <w:ind w:right="120" w:firstLine="627"/>
        <w:spacing w:after="0" w:line="262" w:lineRule="auto"/>
        <w:rPr>
          <w:sz w:val="20"/>
          <w:szCs w:val="20"/>
          <w:color w:val="auto"/>
        </w:rPr>
      </w:pPr>
      <w:r>
        <w:rPr>
          <w:rFonts w:ascii="Arial" w:cs="Arial" w:eastAsia="Arial" w:hAnsi="Arial"/>
          <w:sz w:val="17"/>
          <w:szCs w:val="17"/>
          <w:color w:val="auto"/>
        </w:rPr>
        <w:t>On December 20, 2019, we entered into a payment agreement (the “CFF Payment Agreement”) with CFF, pursuant to which we agreed to provide CFF with compensation in exchange for the grant of, and forbearance from exercising, certain of CFF’s rights existing under the Research, Development and Commercialization Agreement, dated October 1, 2011, by and between CFF (through an assignment by Cystic Fibrosis Foundation Therapeutics, Inc.) and Genzyme Corporation, an affiliate of Sanofi (the “CFFT-Genzyme Agreement”). As described above, we have been granted a license to certain compounds, patents and know-how pursuant to the Sanofi License Agreement, some of which were generated as a result of a research plan under the CFFT-Genzyme Agreement. Under the CFF Payment Agreement, we are obligated to compensate CFF in connection with our development and commercialization of licensed products under the Sanofi License Agreement. Concurrent with the execution of the CFF Payment Agreement, Sanofi and CFF terminated the CFFT-Genzyme Agreement.</w:t>
      </w:r>
    </w:p>
    <w:p>
      <w:pPr>
        <w:spacing w:after="0" w:line="173" w:lineRule="exact"/>
        <w:rPr>
          <w:sz w:val="20"/>
          <w:szCs w:val="20"/>
          <w:color w:val="auto"/>
        </w:rPr>
      </w:pPr>
    </w:p>
    <w:p>
      <w:pPr>
        <w:ind w:right="20" w:firstLine="627"/>
        <w:spacing w:after="0" w:line="258" w:lineRule="auto"/>
        <w:rPr>
          <w:sz w:val="20"/>
          <w:szCs w:val="20"/>
          <w:color w:val="auto"/>
        </w:rPr>
      </w:pPr>
      <w:r>
        <w:rPr>
          <w:rFonts w:ascii="Arial" w:cs="Arial" w:eastAsia="Arial" w:hAnsi="Arial"/>
          <w:sz w:val="17"/>
          <w:szCs w:val="17"/>
          <w:color w:val="auto"/>
        </w:rPr>
        <w:t>As initial consideration for CFF’s grant of, and forbearance from exercising, its rights under the CFFT-Genzyme Agreement, we issued CFF 300,300 shares of our Series Seed preferred stock. In addition, we agreed to pay CFF a sub-teen double-digit percentage of any amounts paid by us to Sanofi under the Sanofi License Agreement, other than milestone, royalty or reimbursement payments. As of December 31, 2025, we have paid CFF a total of approximately $0.2 million in accordance with the terms of the CFF Payment Agreement. In addition, we are required to pay CFF a total of up to $40.0 million upon achievement of certain late-stage developmental and commercial milestones. None of such milestones have been achieved to date. We are also required to pay revenue-shares of royalty payments to CFF in the low single-digit percentage range based on net sales of licensed products, subject to customary reductions and offsets. Such milestone and royalty payments shall be reduced for products covered by derived patents. The royalty term will terminate on a product-by-product and country-by-country basis upon the later of (i) the expiration of the last-to-expire valid claim within the relevant patent rights that claims such product or its exploitation in such country,</w:t>
      </w:r>
    </w:p>
    <w:p>
      <w:pPr>
        <w:spacing w:after="0" w:line="5" w:lineRule="exact"/>
        <w:rPr>
          <w:sz w:val="20"/>
          <w:szCs w:val="20"/>
          <w:color w:val="auto"/>
        </w:rPr>
      </w:pPr>
    </w:p>
    <w:p>
      <w:pPr>
        <w:ind w:right="160" w:firstLine="4"/>
        <w:spacing w:after="0" w:line="263" w:lineRule="auto"/>
        <w:tabs>
          <w:tab w:leader="none" w:pos="24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tenth anniversary of the first commercial sale of a product in such country and (iii) expiration of regulatory exclusivity of a product in such country. Further, a side letter was executed between us and Sanofi, which clarifies the relationship between us, Sanofi and CFF, under which we are obligated to pay Sanofi 20% of the milestones it would have been obligated to pay CFF, net of the milestone amounts it is obligated to pay under the Sanofi License Agreement.</w:t>
      </w:r>
    </w:p>
    <w:p>
      <w:pPr>
        <w:spacing w:after="0" w:line="171" w:lineRule="exact"/>
        <w:rPr>
          <w:sz w:val="20"/>
          <w:szCs w:val="20"/>
          <w:color w:val="auto"/>
        </w:rPr>
      </w:pPr>
    </w:p>
    <w:p>
      <w:pPr>
        <w:ind w:right="40" w:firstLine="627"/>
        <w:spacing w:after="0" w:line="270" w:lineRule="auto"/>
        <w:rPr>
          <w:sz w:val="20"/>
          <w:szCs w:val="20"/>
          <w:color w:val="auto"/>
        </w:rPr>
      </w:pPr>
      <w:r>
        <w:rPr>
          <w:rFonts w:ascii="Arial" w:cs="Arial" w:eastAsia="Arial" w:hAnsi="Arial"/>
          <w:sz w:val="17"/>
          <w:szCs w:val="17"/>
          <w:color w:val="auto"/>
        </w:rPr>
        <w:t>If at any time prior to the first commercial sale of a product developed as a result of the CFF Payment Agreement, we cease to use commercially reasonable efforts to develop, and obtain and maintain regulatory approvals for, at least one of our products for therapeutic, prophylactic, prognostic or diagnostic uses in or for humans in specified major markets for a continuous period of 365 days, CFF has the option to exercise rights to an exclusive, irrevocable, worldwide interruption license under our patents, the licensed patents and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20"/>
        <w:spacing w:after="0" w:line="298" w:lineRule="auto"/>
        <w:rPr>
          <w:sz w:val="20"/>
          <w:szCs w:val="20"/>
          <w:color w:val="auto"/>
        </w:rPr>
      </w:pPr>
      <w:r>
        <w:rPr>
          <w:rFonts w:ascii="Arial" w:cs="Arial" w:eastAsia="Arial" w:hAnsi="Arial"/>
          <w:sz w:val="17"/>
          <w:szCs w:val="17"/>
          <w:color w:val="auto"/>
        </w:rPr>
        <w:t>licensed know-how, to develop, manufacture, use, sell, offer to sell and import any of our products containing a licensed compound or any compound covered by a licensed patent or incorporating licensed know-how.</w:t>
      </w:r>
    </w:p>
    <w:p>
      <w:pPr>
        <w:spacing w:after="0" w:line="141" w:lineRule="exact"/>
        <w:rPr>
          <w:sz w:val="20"/>
          <w:szCs w:val="20"/>
          <w:color w:val="auto"/>
        </w:rPr>
      </w:pPr>
    </w:p>
    <w:p>
      <w:pPr>
        <w:ind w:right="40" w:firstLine="627"/>
        <w:spacing w:after="0" w:line="266" w:lineRule="auto"/>
        <w:rPr>
          <w:sz w:val="20"/>
          <w:szCs w:val="20"/>
          <w:color w:val="auto"/>
        </w:rPr>
      </w:pPr>
      <w:r>
        <w:rPr>
          <w:rFonts w:ascii="Arial" w:cs="Arial" w:eastAsia="Arial" w:hAnsi="Arial"/>
          <w:sz w:val="17"/>
          <w:szCs w:val="17"/>
          <w:color w:val="auto"/>
        </w:rPr>
        <w:t>Either party may terminate the CFF Payment Agreement for a material breach by the other party, subject to a specified notice and cure period. Unless earlier terminated, the CFF Payment Agreement will expire (a) with respect to each product in each country, upon the expiration of the last-to-expire royalty term in such country, and (b) with respect to the CFF Payment Agreement in its entirety, upon the later of (i) the expiration of the royalty term for the last licensed product for which there has been a first commercial sale or (ii) the expiration or termination of our obligation to pay consideration to Sanofi under the Sanofi License Agreement.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License Agreement</w:t>
      </w:r>
    </w:p>
    <w:p>
      <w:pPr>
        <w:spacing w:after="0" w:line="22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On July 11, 2024, we entered into a license agreement (the “AbbVie License Agreement”) with AbbVie, pursuant to which we have been granted an exclusive worldwide, royalty-bearing, sublicensable license to certain patent and other intellectual property rights to research, develop, commercialize, make, manufacture, use, import and sell products for prophylactic or therapeutic use in humans for all indications, subject to certain limitations and retained rights. The licensed rights are directed, among other things, to three clinical-stage CFTR modulator therapies: SION-2222, a TMD1-directed CFTR corrector, SION-3067, a CFTR potentiator, and SION-2851, a TMD1-directed corrector. Under the AbbVie License Agreement, we have assumed all global development and commercialization responsibilities for such therapies. Pursuant to the terms of the AbbVie License Agreement, we must use commercially reasonable efforts to develop, pursue regulatory approval for and commercialize a licensed product. We are also required to achieve certain development milestones within specified time periods for products incorporating intellectual property covered by the AbbVie License Agreement.</w:t>
      </w:r>
    </w:p>
    <w:p>
      <w:pPr>
        <w:spacing w:after="0" w:line="175"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The license granted to us under the AbbVie License Agreement is subject to certain preexisting rights held by AbbVie and Galapagos. In particular, certain of the licensed patents and other intellectual property rights were developed by or on behalf of Galapagos and are sublicensed to us subject to the terms of the second amended and restated collaboration agreement between Galapagos and AbbVie dated as of October 24, 2018 (the “Galapagos License Agreement”), as amended by a side letter between Galapagos and AbbVie dated as of July 11, 2024. We are also entitled to sublicense the rights granted to us under the AbbVie License Agreement under certain circumstances, provided that any such sublicense must be consistent with the terms of the AbbVie License Agreement and the Galapagos License Agreement.</w:t>
      </w:r>
    </w:p>
    <w:p>
      <w:pPr>
        <w:spacing w:after="0" w:line="172" w:lineRule="exact"/>
        <w:rPr>
          <w:sz w:val="20"/>
          <w:szCs w:val="20"/>
          <w:color w:val="auto"/>
        </w:rPr>
      </w:pPr>
    </w:p>
    <w:p>
      <w:pPr>
        <w:ind w:right="40" w:firstLine="627"/>
        <w:spacing w:after="0" w:line="259" w:lineRule="auto"/>
        <w:rPr>
          <w:sz w:val="20"/>
          <w:szCs w:val="20"/>
          <w:color w:val="auto"/>
        </w:rPr>
      </w:pPr>
      <w:r>
        <w:rPr>
          <w:rFonts w:ascii="Arial" w:cs="Arial" w:eastAsia="Arial" w:hAnsi="Arial"/>
          <w:sz w:val="17"/>
          <w:szCs w:val="17"/>
          <w:color w:val="auto"/>
        </w:rPr>
        <w:t>As initial consideration for the license, we paid a non-refundable, upfront payment of $5.0 million and issued 1,414,445 shares of our common stock to AbbVie. In addition, we are required to pay AbbVie a total of up to $360.0 million upon achievement of certain development and commercial milestones, consisting of up to $70.0 million in late-stage development milestones and up to $290.0 million in commercial milestones. None of such milestones have been achieved to date. We are also required to pay royalties to AbbVie in the low to mid single-digit percentage range based on net sales of licensed products, subject to customary reductions and offsets, with the percentage range depending in part on the compounds used. The royalty term will terminate on a product-by-product and country-by-country basis upon the later of (i) the expiration of the last-to-expire valid claim within the relevant patent rights that covers the manufacture, use, sale or other exploitation of a product in such country,</w:t>
      </w:r>
    </w:p>
    <w:p>
      <w:pPr>
        <w:spacing w:after="0" w:line="1" w:lineRule="exact"/>
        <w:rPr>
          <w:sz w:val="20"/>
          <w:szCs w:val="20"/>
          <w:color w:val="auto"/>
        </w:rPr>
      </w:pPr>
    </w:p>
    <w:p>
      <w:pPr>
        <w:jc w:val="both"/>
        <w:ind w:right="180" w:firstLine="4"/>
        <w:spacing w:after="0" w:line="263" w:lineRule="auto"/>
        <w:tabs>
          <w:tab w:leader="none" w:pos="24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tenth anniversary of the first commercial sale of a product in such country and (iii) expiration of regulatory exclusivity of a product in such country. In addition, we are required to pay AbbVie up to $130.0 million in commercial and sales-based milestone payments, mid to high single-digit royalties on the licensed products or other payments due to Galapagos pursuant to the Galapagos License Agreement, to the extent such payments are triggered by our use of the licensed rights under the AbbVie License Agreement. To date, no payments have been triggered.</w:t>
      </w:r>
    </w:p>
    <w:p>
      <w:pPr>
        <w:spacing w:after="0" w:line="171" w:lineRule="exact"/>
        <w:rPr>
          <w:sz w:val="20"/>
          <w:szCs w:val="20"/>
          <w:color w:val="auto"/>
        </w:rPr>
      </w:pPr>
    </w:p>
    <w:p>
      <w:pPr>
        <w:ind w:right="60" w:firstLine="627"/>
        <w:spacing w:after="0" w:line="264" w:lineRule="auto"/>
        <w:rPr>
          <w:sz w:val="20"/>
          <w:szCs w:val="20"/>
          <w:color w:val="auto"/>
        </w:rPr>
      </w:pPr>
      <w:r>
        <w:rPr>
          <w:rFonts w:ascii="Arial" w:cs="Arial" w:eastAsia="Arial" w:hAnsi="Arial"/>
          <w:sz w:val="17"/>
          <w:szCs w:val="17"/>
          <w:color w:val="auto"/>
        </w:rPr>
        <w:t>We have also granted AbbVie a right of first negotiation (the “ROFN”) if we decide to pursue a license or sublicense to commercialize a licensed product (a “Commercial License Transaction”) prior to initiating Phase 3 clinical trials. If AbbVie timely exercises the ROFN, then it will have an exclusive period to negotiate in good faith the terms of a Commercial License Transaction. In the event (x) AbbVie does not timely exercise the ROFN or notifies us that it does not intend to pursue a Commercial License Transaction (including after timely exercising the ROFN) or (y) the parties fail to reach agreement or enter into a definitive agreement for the Commercial License Transaction within the exclusive negotiation period, then the ROFN regarding all licensed products will terminate.</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80" w:firstLine="627"/>
        <w:spacing w:after="0" w:line="298" w:lineRule="auto"/>
        <w:rPr>
          <w:sz w:val="20"/>
          <w:szCs w:val="20"/>
          <w:color w:val="auto"/>
        </w:rPr>
      </w:pPr>
      <w:r>
        <w:rPr>
          <w:rFonts w:ascii="Arial" w:cs="Arial" w:eastAsia="Arial" w:hAnsi="Arial"/>
          <w:sz w:val="17"/>
          <w:szCs w:val="17"/>
          <w:color w:val="auto"/>
        </w:rPr>
        <w:t>We are responsible for the prosecution and maintenance of the licensed patents at our own cost. We have the first right to enforce and defend any licensed patent at our own cost, with AbbVie having back-up enforcement and defense rights.</w:t>
      </w:r>
    </w:p>
    <w:p>
      <w:pPr>
        <w:spacing w:after="0" w:line="141" w:lineRule="exact"/>
        <w:rPr>
          <w:sz w:val="20"/>
          <w:szCs w:val="20"/>
          <w:color w:val="auto"/>
        </w:rPr>
      </w:pPr>
    </w:p>
    <w:p>
      <w:pPr>
        <w:ind w:right="40" w:firstLine="627"/>
        <w:spacing w:after="0" w:line="266" w:lineRule="auto"/>
        <w:rPr>
          <w:sz w:val="20"/>
          <w:szCs w:val="20"/>
          <w:color w:val="auto"/>
        </w:rPr>
      </w:pPr>
      <w:r>
        <w:rPr>
          <w:rFonts w:ascii="Arial" w:cs="Arial" w:eastAsia="Arial" w:hAnsi="Arial"/>
          <w:sz w:val="17"/>
          <w:szCs w:val="17"/>
          <w:color w:val="auto"/>
        </w:rPr>
        <w:t>We have the right to terminate the AbbVie License Agreement for convenience, subject to a prescribed notice period. AbbVie has customary termination rights under the AbbVie License Agreement, including for our material breach, payment default, bankruptcy, challenge of the validity of any patent right or shelving of a product for a specified time period, subject to specified notice and cure periods. Unless earlier terminated, the AbbVie License Agreement will expire upon the expiration of the last-to-expire royalty term. Upon expiration of the AbbVie License Agreement, the license granted to us will become non-exclusive, royalty-free, fully paid-up and perpetual.</w:t>
      </w:r>
    </w:p>
    <w:p>
      <w:pPr>
        <w:spacing w:after="0" w:line="170"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In the event the AbbVie License Agreement is terminated, we and AbbVie shall agree upon a transition plan to revert the licensed compounds or licensed products containing such licensed compounds to AbbVie. Within a prescribed time period of such termination, we are obligated to (i) assign and transfer all of our rights and interests in the documentation and data related to the reverting compounds or products to AbbVie, (ii) grant to AbbVie a non-exclusive, royalty-free license right of reference for AbbVie to develop or commercialize any of the reverting compounds or products, (iii) grant to AbbVie an exclusive, royalty-bearing worldwide license to exploit any of the reverting compounds or products and (iv) transfer to AbbVie control of all clinical studies being conducted for any of the reverting compounds or products.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20" w:lineRule="exact"/>
        <w:rPr>
          <w:sz w:val="20"/>
          <w:szCs w:val="20"/>
          <w:color w:val="auto"/>
        </w:rPr>
      </w:pPr>
    </w:p>
    <w:p>
      <w:pPr>
        <w:ind w:firstLine="627"/>
        <w:spacing w:after="0" w:line="260" w:lineRule="auto"/>
        <w:rPr>
          <w:sz w:val="20"/>
          <w:szCs w:val="20"/>
          <w:color w:val="auto"/>
        </w:rPr>
      </w:pPr>
      <w:r>
        <w:rPr>
          <w:rFonts w:ascii="Arial" w:cs="Arial" w:eastAsia="Arial" w:hAnsi="Arial"/>
          <w:sz w:val="17"/>
          <w:szCs w:val="17"/>
          <w:color w:val="auto"/>
        </w:rPr>
        <w:t>The FDA and comparable regulatory authorities in federal, state and local jurisdictions and in other foreign countries impose extensive requirements upon companies involved in the clinical development, manufacture, marketing and distribution of drugs, such as those we are developing. These agencies and other federal, state and local entities extensively regulate, among other things, the research and development, testing, manufacture, quality control, safety, effectiveness, labeling, packaging, storage, record keeping, approval, advertising and promotion, distribution, post-approval monitoring and reporting, sampling and export and import of drugs. The process of obtaining regulatory approvals in the U.S. and in foreign countries and jurisdictions, along with subsequent compliance with applicable federal, state, local and foreign statutes and regulations, requires the expenditure of substantial time and financial resources. Failure to comply with the applicable requirements at any time during the product development process, approval process or after approval, may subject an applicant and/or sponsor to a variety of sanctions. For example, failure to comply with the applicable U.S. requirements may result in administrative or judicial sanctions including refusal by FDA to approve pending applications, withdrawal of an approval, imposition of a clinical hold, issuance of warning letters and untitled letters, product recalls, product seizures, total or partial suspension of production or distribution, injunctions, fines, refusals of government contracts, restitution, disgorgement or civil or criminal investigations and penalties brought by the FDA and the Department of Justice or other governmental entities.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Review and Approval of Drugs in the United States</w:t>
      </w:r>
    </w:p>
    <w:p>
      <w:pPr>
        <w:spacing w:after="0" w:line="118" w:lineRule="exact"/>
        <w:rPr>
          <w:sz w:val="20"/>
          <w:szCs w:val="20"/>
          <w:color w:val="auto"/>
        </w:rPr>
      </w:pPr>
    </w:p>
    <w:p>
      <w:pPr>
        <w:ind w:right="100" w:firstLine="627"/>
        <w:spacing w:after="0" w:line="298" w:lineRule="auto"/>
        <w:rPr>
          <w:sz w:val="20"/>
          <w:szCs w:val="20"/>
          <w:color w:val="auto"/>
        </w:rPr>
      </w:pPr>
      <w:r>
        <w:rPr>
          <w:rFonts w:ascii="Arial" w:cs="Arial" w:eastAsia="Arial" w:hAnsi="Arial"/>
          <w:sz w:val="17"/>
          <w:szCs w:val="17"/>
          <w:color w:val="auto"/>
        </w:rPr>
        <w:t>In the U.S., the FDA regulates drugs under the Federal Food, Drug, and Cosmetic Act (“FDCA”), and its implementing regulations. Drugs are also subject to other federal, state and local statutes and regulations.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process required by the FDA before a drug may be marketed in the U.S. generally involves the following:</w:t>
      </w:r>
    </w:p>
    <w:p>
      <w:pPr>
        <w:spacing w:after="0" w:line="118" w:lineRule="exact"/>
        <w:rPr>
          <w:sz w:val="20"/>
          <w:szCs w:val="20"/>
          <w:color w:val="auto"/>
        </w:rPr>
      </w:pPr>
    </w:p>
    <w:p>
      <w:pPr>
        <w:ind w:left="640" w:right="260" w:hanging="166"/>
        <w:spacing w:after="0" w:line="298"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completion of extensive nonclinical, or preclinical, laboratory tests, animal studies and formulation studies in compliance with the FDA’s Good Laboratory Practice (“GLP”) regulations;</w:t>
      </w:r>
    </w:p>
    <w:p>
      <w:pPr>
        <w:spacing w:after="0" w:line="36" w:lineRule="exact"/>
        <w:rPr>
          <w:rFonts w:ascii="Arial" w:cs="Arial" w:eastAsia="Arial" w:hAnsi="Arial"/>
          <w:sz w:val="17"/>
          <w:szCs w:val="17"/>
          <w:color w:val="auto"/>
        </w:rPr>
      </w:pPr>
    </w:p>
    <w:p>
      <w:pPr>
        <w:ind w:left="640" w:right="80" w:hanging="166"/>
        <w:spacing w:after="0" w:line="298"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 and must be updated annually and when certain changes are made;</w:t>
      </w:r>
    </w:p>
    <w:p>
      <w:pPr>
        <w:spacing w:after="0" w:line="36" w:lineRule="exact"/>
        <w:rPr>
          <w:rFonts w:ascii="Arial" w:cs="Arial" w:eastAsia="Arial" w:hAnsi="Arial"/>
          <w:sz w:val="17"/>
          <w:szCs w:val="17"/>
          <w:color w:val="auto"/>
        </w:rPr>
      </w:pPr>
    </w:p>
    <w:p>
      <w:pPr>
        <w:ind w:left="640" w:right="380" w:hanging="166"/>
        <w:spacing w:after="0" w:line="298"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approval by an institutional review board (“IRB”) or independent ethics committee (“IEC”) at each clinical site before each trial may be initiated at that site;</w:t>
      </w:r>
    </w:p>
    <w:p>
      <w:pPr>
        <w:spacing w:after="0" w:line="36" w:lineRule="exact"/>
        <w:rPr>
          <w:rFonts w:ascii="Arial" w:cs="Arial" w:eastAsia="Arial" w:hAnsi="Arial"/>
          <w:sz w:val="17"/>
          <w:szCs w:val="17"/>
          <w:color w:val="auto"/>
        </w:rPr>
      </w:pPr>
    </w:p>
    <w:p>
      <w:pPr>
        <w:jc w:val="both"/>
        <w:ind w:left="640" w:right="180" w:hanging="166"/>
        <w:spacing w:after="0" w:line="298"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Practices (“GCP”) requirements and other clinical trial-related regulations to establish the safety and efficacy of the investigational drug product for each proposed indication;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right="100" w:hanging="166"/>
        <w:spacing w:after="0" w:line="29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preparation and submission to the FDA of an NDA after completion of all pivotal trials, together with the payment of application user fees, as applicable;</w:t>
      </w:r>
    </w:p>
    <w:p>
      <w:pPr>
        <w:spacing w:after="0" w:line="36" w:lineRule="exact"/>
        <w:rPr>
          <w:rFonts w:ascii="Arial" w:cs="Arial" w:eastAsia="Arial" w:hAnsi="Arial"/>
          <w:sz w:val="17"/>
          <w:szCs w:val="17"/>
          <w:color w:val="auto"/>
        </w:rPr>
      </w:pPr>
    </w:p>
    <w:p>
      <w:pPr>
        <w:ind w:left="680" w:hanging="206"/>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accept the marketing application for review;</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17" w:lineRule="exact"/>
        <w:rPr>
          <w:rFonts w:ascii="Arial" w:cs="Arial" w:eastAsia="Arial" w:hAnsi="Arial"/>
          <w:sz w:val="17"/>
          <w:szCs w:val="17"/>
          <w:color w:val="auto"/>
        </w:rPr>
      </w:pPr>
    </w:p>
    <w:p>
      <w:pPr>
        <w:ind w:left="640" w:right="560" w:hanging="166"/>
        <w:spacing w:after="0" w:line="277"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54" w:lineRule="exact"/>
        <w:rPr>
          <w:rFonts w:ascii="Arial" w:cs="Arial" w:eastAsia="Arial" w:hAnsi="Arial"/>
          <w:sz w:val="17"/>
          <w:szCs w:val="17"/>
          <w:color w:val="auto"/>
        </w:rPr>
      </w:pPr>
    </w:p>
    <w:p>
      <w:pPr>
        <w:ind w:left="620" w:hanging="146"/>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satisfactory completion of FDA inspections of clinical trial sites to assure compliance with GCPs and the integrity of the clinical data;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FDA review and approval of the NDA.</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w:t>
      </w:r>
    </w:p>
    <w:p>
      <w:pPr>
        <w:spacing w:after="0" w:line="118" w:lineRule="exact"/>
        <w:rPr>
          <w:sz w:val="20"/>
          <w:szCs w:val="20"/>
          <w:color w:val="auto"/>
        </w:rPr>
      </w:pPr>
    </w:p>
    <w:p>
      <w:pPr>
        <w:ind w:right="80" w:firstLine="627"/>
        <w:spacing w:after="0" w:line="270" w:lineRule="auto"/>
        <w:rPr>
          <w:sz w:val="20"/>
          <w:szCs w:val="20"/>
          <w:color w:val="auto"/>
        </w:rPr>
      </w:pPr>
      <w:r>
        <w:rPr>
          <w:rFonts w:ascii="Arial" w:cs="Arial" w:eastAsia="Arial" w:hAnsi="Arial"/>
          <w:sz w:val="17"/>
          <w:szCs w:val="17"/>
          <w:color w:val="auto"/>
        </w:rPr>
        <w:t xml:space="preserve">Before testing any drug product candidate, including our product candidates, in humans, the product candidate must undergo rigorous preclinical testing. Preclinical studies include laboratory evaluations of the product’s chemistry, purity, toxicity, formulation, and stability as well as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and animal studies to assess potential safety and efficacy and in some cases to establish the rationale for therapeutic use. The conduct of</w:t>
      </w:r>
      <w:r>
        <w:rPr>
          <w:rFonts w:ascii="Arial" w:cs="Arial" w:eastAsia="Arial" w:hAnsi="Arial"/>
          <w:sz w:val="17"/>
          <w:szCs w:val="17"/>
          <w:i w:val="1"/>
          <w:iCs w:val="1"/>
          <w:color w:val="auto"/>
        </w:rPr>
        <w:t xml:space="preserve"> </w:t>
      </w:r>
      <w:r>
        <w:rPr>
          <w:rFonts w:ascii="Arial" w:cs="Arial" w:eastAsia="Arial" w:hAnsi="Arial"/>
          <w:sz w:val="17"/>
          <w:szCs w:val="17"/>
          <w:color w:val="auto"/>
        </w:rPr>
        <w:t>preclinical studies is subject to federal regulations and requirements, including GLP regulations for safety and toxicology studies.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IND and IRB Process</w:t>
      </w:r>
    </w:p>
    <w:p>
      <w:pPr>
        <w:spacing w:after="0" w:line="118"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Prior to beginning the first clinical trial with a product candidate in the U.S., we must submit an IND to the FDA. An IND sponsor must submit a protocol for each clinical trial, the results of the preclinical tests, manufacturing information, analytical data and any available clinical data or literature and plans for clinical studies, among other things, to the FDA as part of an IND. An IND is a request for authorization from the FDA to grant an exemption that allows an unapproved drug to be shipped in interstate commerce for use and administration in an investigational clinical trial for humans. The IND must become effective before human clinical trials may begin in the U.S. Some preclinical testing, such as animal tests of reproductive adverse events and carcinogenicity, may continue even after the IND is submitted. An IND automatically becomes effective 30 days after receipt by the FDA, unless before that time the FDA raises concerns or questions related to one or more proposed clinical trials and places the clinical trial on a clinical hold. A clinical hold is an order issued by the FDA to the sponsor to delay a proposed clinical investigation or to suspend an ongoing clinical trial. Clinical holds may be imposed by the FDA when there is concern for patient safety, and may be a result of new data, findings or developments in clinical, nonclinical, and/or chemistry, manufacturing and controls or where there is non-compliance with regulatory requirements. A partial clinical hold is a delay or suspension of only part of the clinical work requested under the IND. Following issuance of a clinical hold or partial clinical hold, an investigation (or full investigation in the case of a partial clinical hold) may only resume after the FDA has notified the sponsor that the investigation may proceed. As a result, submission of an IND may not result in the FDA allowing clinical trials to initiate.</w:t>
      </w:r>
    </w:p>
    <w:p>
      <w:pPr>
        <w:spacing w:after="0" w:line="391" w:lineRule="exact"/>
        <w:rPr>
          <w:sz w:val="20"/>
          <w:szCs w:val="20"/>
          <w:color w:val="auto"/>
        </w:rPr>
      </w:pPr>
    </w:p>
    <w:p>
      <w:pPr>
        <w:ind w:right="200" w:firstLine="627"/>
        <w:spacing w:after="0" w:line="298" w:lineRule="auto"/>
        <w:rPr>
          <w:sz w:val="20"/>
          <w:szCs w:val="20"/>
          <w:color w:val="auto"/>
        </w:rPr>
      </w:pPr>
      <w:r>
        <w:rPr>
          <w:rFonts w:ascii="Arial" w:cs="Arial" w:eastAsia="Arial" w:hAnsi="Arial"/>
          <w:sz w:val="17"/>
          <w:szCs w:val="17"/>
          <w:color w:val="auto"/>
        </w:rPr>
        <w:t>A separate submission to an existing IND must also be made for each successive clinical trial to be conducted, and the FDA must grant permission, either explicitly or implicitly by not objecting, before each clinical trial can begin.</w:t>
      </w:r>
    </w:p>
    <w:p>
      <w:pPr>
        <w:spacing w:after="0" w:line="141" w:lineRule="exact"/>
        <w:rPr>
          <w:sz w:val="20"/>
          <w:szCs w:val="20"/>
          <w:color w:val="auto"/>
        </w:rPr>
      </w:pPr>
    </w:p>
    <w:p>
      <w:pPr>
        <w:ind w:right="40" w:firstLine="627"/>
        <w:spacing w:after="0" w:line="270" w:lineRule="auto"/>
        <w:rPr>
          <w:sz w:val="20"/>
          <w:szCs w:val="20"/>
          <w:color w:val="auto"/>
        </w:rPr>
      </w:pPr>
      <w:r>
        <w:rPr>
          <w:rFonts w:ascii="Arial" w:cs="Arial" w:eastAsia="Arial" w:hAnsi="Arial"/>
          <w:sz w:val="17"/>
          <w:szCs w:val="17"/>
          <w:color w:val="auto"/>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including review and approval by an IEC and informed consent from subjects. FDA must be able to validate the data from the study through an on-site inspection if necessary.</w:t>
      </w:r>
    </w:p>
    <w:p>
      <w:pPr>
        <w:spacing w:after="0" w:line="165" w:lineRule="exact"/>
        <w:rPr>
          <w:sz w:val="20"/>
          <w:szCs w:val="20"/>
          <w:color w:val="auto"/>
        </w:rPr>
      </w:pPr>
    </w:p>
    <w:p>
      <w:pPr>
        <w:ind w:right="140" w:firstLine="627"/>
        <w:spacing w:after="0" w:line="270" w:lineRule="auto"/>
        <w:rPr>
          <w:sz w:val="20"/>
          <w:szCs w:val="20"/>
          <w:color w:val="auto"/>
        </w:rPr>
      </w:pPr>
      <w:r>
        <w:rPr>
          <w:rFonts w:ascii="Arial" w:cs="Arial" w:eastAsia="Arial" w:hAnsi="Arial"/>
          <w:sz w:val="17"/>
          <w:szCs w:val="17"/>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of the study. The IRB is charged with protecting the welfare and rights of trial participants and considers whether the risks to individuals participating in the clinical trials are minimized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are reasonable in relation to anticipated benefits. The IRB must review and approve, among other things, the study protocol and informed consent information to be provided to study subjects and must monitor the clinical trial until completion.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Trials in Support of an NDA</w:t>
      </w:r>
    </w:p>
    <w:p>
      <w:pPr>
        <w:spacing w:after="0" w:line="118" w:lineRule="exact"/>
        <w:rPr>
          <w:sz w:val="20"/>
          <w:szCs w:val="20"/>
          <w:color w:val="auto"/>
        </w:rPr>
      </w:pPr>
    </w:p>
    <w:p>
      <w:pPr>
        <w:ind w:right="140" w:firstLine="627"/>
        <w:spacing w:after="0" w:line="264" w:lineRule="auto"/>
        <w:rPr>
          <w:sz w:val="20"/>
          <w:szCs w:val="20"/>
          <w:color w:val="auto"/>
        </w:rPr>
      </w:pPr>
      <w:r>
        <w:rPr>
          <w:rFonts w:ascii="Arial" w:cs="Arial" w:eastAsia="Arial" w:hAnsi="Arial"/>
          <w:sz w:val="17"/>
          <w:szCs w:val="17"/>
          <w:color w:val="auto"/>
        </w:rPr>
        <w:t>Clinical trials involve the administration of the investigational new drug to human subjects under the supervision of qualified investigators in accordance with GCP requirements, which include the requirement that all research subjects, or their legal representative, provide their informed consent in writing for their participation in any clinical trial. Clinical trials are conducted under written study protocols detailing, among other things, the exclusion and inclusion criteria, the objectives of the trial, dosing procedures, subject selection, the parameters to be used in monitoring safety and the effectiveness criteria to be evaluated. As part of an IND, a protocol for each clinical trial and any subsequent protocol amendments must be submitted to the FDA.</w:t>
      </w:r>
    </w:p>
    <w:p>
      <w:pPr>
        <w:spacing w:after="0" w:line="172" w:lineRule="exact"/>
        <w:rPr>
          <w:sz w:val="20"/>
          <w:szCs w:val="20"/>
          <w:color w:val="auto"/>
        </w:rPr>
      </w:pPr>
    </w:p>
    <w:p>
      <w:pPr>
        <w:ind w:right="220" w:firstLine="627"/>
        <w:spacing w:after="0" w:line="264" w:lineRule="auto"/>
        <w:rPr>
          <w:sz w:val="20"/>
          <w:szCs w:val="20"/>
          <w:color w:val="auto"/>
        </w:rPr>
      </w:pPr>
      <w:r>
        <w:rPr>
          <w:rFonts w:ascii="Arial" w:cs="Arial" w:eastAsia="Arial" w:hAnsi="Arial"/>
          <w:sz w:val="17"/>
          <w:szCs w:val="17"/>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monitoring committee ("DMC"), which provides authorization for whether or not a study may move forward at designated check points based on access to certain data from the study and may halt the clinical trial if it determines that there is an unacceptable safety or health risk for subjects or other grounds, such as no demonstration of efficacy.</w:t>
      </w:r>
    </w:p>
    <w:p>
      <w:pPr>
        <w:spacing w:after="0" w:line="172" w:lineRule="exact"/>
        <w:rPr>
          <w:sz w:val="20"/>
          <w:szCs w:val="20"/>
          <w:color w:val="auto"/>
        </w:rPr>
      </w:pPr>
    </w:p>
    <w:p>
      <w:pPr>
        <w:jc w:val="both"/>
        <w:ind w:right="120" w:firstLine="627"/>
        <w:spacing w:after="0" w:line="264" w:lineRule="auto"/>
        <w:rPr>
          <w:sz w:val="20"/>
          <w:szCs w:val="20"/>
          <w:color w:val="auto"/>
        </w:rPr>
      </w:pPr>
      <w:r>
        <w:rPr>
          <w:rFonts w:ascii="Arial" w:cs="Arial" w:eastAsia="Arial" w:hAnsi="Arial"/>
          <w:sz w:val="17"/>
          <w:szCs w:val="17"/>
          <w:color w:val="auto"/>
        </w:rPr>
        <w:t xml:space="preserve">Information about certain clinical trials must be submitted within specific timeframes to the National Institutes of Health (“NIH”) for public dissemination on their </w:t>
      </w:r>
      <w:r>
        <w:rPr>
          <w:rFonts w:ascii="Arial" w:cs="Arial" w:eastAsia="Arial" w:hAnsi="Arial"/>
          <w:sz w:val="17"/>
          <w:szCs w:val="17"/>
          <w:i w:val="1"/>
          <w:iCs w:val="1"/>
          <w:color w:val="auto"/>
        </w:rPr>
        <w:t>www.clinicaltrials.gov</w:t>
      </w:r>
      <w:r>
        <w:rPr>
          <w:rFonts w:ascii="Arial" w:cs="Arial" w:eastAsia="Arial" w:hAnsi="Arial"/>
          <w:sz w:val="17"/>
          <w:szCs w:val="17"/>
          <w:color w:val="auto"/>
        </w:rPr>
        <w:t xml:space="preserve"> website. Information related to the investigational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some time. Failure to timely register a covered clinical study or to submit study results as provided for in the law can give rise to civil monetary penalties and also prevent the non-compliant party from receiving future grant funds from the federal government.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Human clinical trials are typically conducted in three sequential phases, which may overlap or be combined:</w:t>
      </w:r>
    </w:p>
    <w:p>
      <w:pPr>
        <w:spacing w:after="0" w:line="118" w:lineRule="exact"/>
        <w:rPr>
          <w:sz w:val="20"/>
          <w:szCs w:val="20"/>
          <w:color w:val="auto"/>
        </w:rPr>
      </w:pPr>
    </w:p>
    <w:p>
      <w:pPr>
        <w:ind w:left="640" w:right="200" w:hanging="166"/>
        <w:spacing w:after="0" w:line="277"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Phase 1: The investigational drug is initially introduced into a limited population of healthy human subjects or, in certain indications such as cancer, patients with the target disease or condition and tested for safety, dosage tolerance, absorption, metabolism, distribution, excretion, side effects, and, if possible, to gain an early indication of its effectiveness or determine optimal dosage.</w:t>
      </w:r>
    </w:p>
    <w:p>
      <w:pPr>
        <w:spacing w:after="0" w:line="54" w:lineRule="exact"/>
        <w:rPr>
          <w:rFonts w:ascii="Arial" w:cs="Arial" w:eastAsia="Arial" w:hAnsi="Arial"/>
          <w:sz w:val="17"/>
          <w:szCs w:val="17"/>
          <w:color w:val="auto"/>
        </w:rPr>
      </w:pPr>
    </w:p>
    <w:p>
      <w:pPr>
        <w:ind w:left="640" w:right="140" w:hanging="166"/>
        <w:spacing w:after="0" w:line="270" w:lineRule="auto"/>
        <w:tabs>
          <w:tab w:leader="none" w:pos="684" w:val="left"/>
        </w:tabs>
        <w:numPr>
          <w:ilvl w:val="0"/>
          <w:numId w:val="15"/>
        </w:numPr>
        <w:rPr>
          <w:rFonts w:ascii="Arial" w:cs="Arial" w:eastAsia="Arial" w:hAnsi="Arial"/>
          <w:sz w:val="17"/>
          <w:szCs w:val="17"/>
          <w:color w:val="auto"/>
        </w:rPr>
      </w:pPr>
      <w:r>
        <w:rPr>
          <w:rFonts w:ascii="Arial" w:cs="Arial" w:eastAsia="Arial" w:hAnsi="Arial"/>
          <w:sz w:val="17"/>
          <w:szCs w:val="17"/>
          <w:color w:val="auto"/>
        </w:rPr>
        <w:t>Phase 2: The investigational drug is administered to a limited patient population with a specified disease or condition to identify possible adverse effects and safety risks, to preliminarily evaluate the efficacy of the product for specific targeted diseases and to determine dosage tolerance and optimal dosage. Multiple Phase 2 clinical trials may be conducted to obtain information prior to beginning Phase 3 clinical trials.</w:t>
      </w:r>
    </w:p>
    <w:p>
      <w:pPr>
        <w:spacing w:after="0" w:line="60" w:lineRule="exact"/>
        <w:rPr>
          <w:rFonts w:ascii="Arial" w:cs="Arial" w:eastAsia="Arial" w:hAnsi="Arial"/>
          <w:sz w:val="17"/>
          <w:szCs w:val="17"/>
          <w:color w:val="auto"/>
        </w:rPr>
      </w:pPr>
    </w:p>
    <w:p>
      <w:pPr>
        <w:ind w:left="640" w:right="40" w:hanging="166"/>
        <w:spacing w:after="0" w:line="266"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Phase 3: The investigational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product approval and labeling of the product. Generally, two adequate and well-controlled Phase 3 clinical trials are required by the FDA for approval of an NDA, although in some cases a single trial may be considered sufficient.</w:t>
      </w:r>
    </w:p>
    <w:p>
      <w:pPr>
        <w:spacing w:after="0" w:line="170" w:lineRule="exact"/>
        <w:rPr>
          <w:sz w:val="20"/>
          <w:szCs w:val="20"/>
          <w:color w:val="auto"/>
        </w:rPr>
      </w:pPr>
    </w:p>
    <w:p>
      <w:pPr>
        <w:jc w:val="both"/>
        <w:ind w:right="240" w:firstLine="627"/>
        <w:spacing w:after="0" w:line="270" w:lineRule="auto"/>
        <w:rPr>
          <w:sz w:val="20"/>
          <w:szCs w:val="20"/>
          <w:color w:val="auto"/>
        </w:rPr>
      </w:pPr>
      <w:r>
        <w:rPr>
          <w:rFonts w:ascii="Arial" w:cs="Arial" w:eastAsia="Arial" w:hAnsi="Arial"/>
          <w:sz w:val="17"/>
          <w:szCs w:val="17"/>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for an NDA.</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 w:firstLine="627"/>
        <w:spacing w:after="0" w:line="263" w:lineRule="auto"/>
        <w:rPr>
          <w:sz w:val="20"/>
          <w:szCs w:val="20"/>
          <w:color w:val="auto"/>
        </w:rPr>
      </w:pPr>
      <w:r>
        <w:rPr>
          <w:rFonts w:ascii="Arial" w:cs="Arial" w:eastAsia="Arial" w:hAnsi="Arial"/>
          <w:sz w:val="17"/>
          <w:szCs w:val="17"/>
          <w:color w:val="auto"/>
        </w:rPr>
        <w:t xml:space="preserve">Progress reports detailing the results of the clinical trials must be submitted at least annually to the FDA and more frequently if serious adverse events occur. In addition, within 15 calendar days after the sponsor determines that the information qualifies for reporting, written IND safety reports must be submitted to the FDA and investigators for serious and unexpected suspected adverse events,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and any clinically important increase in the rate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 The FDA will typically inspect one or more clinical sites to assure compliance with GCP and the integrity of the clinical data submitted.</w:t>
      </w:r>
    </w:p>
    <w:p>
      <w:pPr>
        <w:spacing w:after="0" w:line="171"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and for the FDA to provide advice.</w:t>
      </w:r>
    </w:p>
    <w:p>
      <w:pPr>
        <w:spacing w:after="0" w:line="159" w:lineRule="exact"/>
        <w:rPr>
          <w:sz w:val="20"/>
          <w:szCs w:val="20"/>
          <w:color w:val="auto"/>
        </w:rPr>
      </w:pPr>
    </w:p>
    <w:p>
      <w:pPr>
        <w:ind w:right="200" w:firstLine="627"/>
        <w:spacing w:after="0" w:line="264"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FDA Review of an NDA Submission and FDA Approval</w:t>
      </w:r>
    </w:p>
    <w:p>
      <w:pPr>
        <w:spacing w:after="0" w:line="118" w:lineRule="exact"/>
        <w:rPr>
          <w:sz w:val="20"/>
          <w:szCs w:val="20"/>
          <w:color w:val="auto"/>
        </w:rPr>
      </w:pPr>
    </w:p>
    <w:p>
      <w:pPr>
        <w:ind w:right="20" w:firstLine="627"/>
        <w:spacing w:after="0" w:line="261" w:lineRule="auto"/>
        <w:rPr>
          <w:sz w:val="20"/>
          <w:szCs w:val="20"/>
          <w:color w:val="auto"/>
        </w:rPr>
      </w:pPr>
      <w:r>
        <w:rPr>
          <w:rFonts w:ascii="Arial" w:cs="Arial" w:eastAsia="Arial" w:hAnsi="Arial"/>
          <w:sz w:val="17"/>
          <w:szCs w:val="17"/>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An NDA is a request for approval to market a new drug for one or more specified indications and must contain proof of the drug’s safety and efficacy for the requested indications. FDA must approve an NDA before a drug may be marketed in the U.S. For companies, the marketing application is required to include both negative and ambiguous results of preclinical studies and clinical trials, as well as positive findings.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for the proposed indication to the satisfaction of the FDA. In most cases, the submission of an NDA is subject to a significant application user fee. Fee exceptions or fee waivers may be obtained under certain limited circumstances.</w:t>
      </w:r>
    </w:p>
    <w:p>
      <w:pPr>
        <w:spacing w:after="0" w:line="172" w:lineRule="exact"/>
        <w:rPr>
          <w:sz w:val="20"/>
          <w:szCs w:val="20"/>
          <w:color w:val="auto"/>
        </w:rPr>
      </w:pPr>
    </w:p>
    <w:p>
      <w:pPr>
        <w:ind w:right="160" w:firstLine="627"/>
        <w:spacing w:after="0" w:line="264" w:lineRule="auto"/>
        <w:rPr>
          <w:sz w:val="20"/>
          <w:szCs w:val="20"/>
          <w:color w:val="auto"/>
        </w:rPr>
      </w:pPr>
      <w:r>
        <w:rPr>
          <w:rFonts w:ascii="Arial" w:cs="Arial" w:eastAsia="Arial" w:hAnsi="Arial"/>
          <w:sz w:val="17"/>
          <w:szCs w:val="17"/>
          <w:color w:val="auto"/>
        </w:rPr>
        <w:t>The FDA conducts a preliminary review of all NDAs within the first 60 days of its receipt,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72" w:lineRule="exact"/>
        <w:rPr>
          <w:sz w:val="20"/>
          <w:szCs w:val="20"/>
          <w:color w:val="auto"/>
        </w:rPr>
      </w:pPr>
    </w:p>
    <w:p>
      <w:pPr>
        <w:ind w:right="80" w:firstLine="627"/>
        <w:spacing w:after="0" w:line="268" w:lineRule="auto"/>
        <w:rPr>
          <w:sz w:val="20"/>
          <w:szCs w:val="20"/>
          <w:color w:val="auto"/>
        </w:rPr>
      </w:pPr>
      <w:r>
        <w:rPr>
          <w:rFonts w:ascii="Arial" w:cs="Arial" w:eastAsia="Arial" w:hAnsi="Arial"/>
          <w:sz w:val="17"/>
          <w:szCs w:val="17"/>
          <w:color w:val="auto"/>
        </w:rPr>
        <w:t>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w:t>
      </w:r>
    </w:p>
    <w:p>
      <w:pPr>
        <w:spacing w:after="0" w:line="380" w:lineRule="exact"/>
        <w:rPr>
          <w:sz w:val="20"/>
          <w:szCs w:val="20"/>
          <w:color w:val="auto"/>
        </w:rPr>
      </w:pPr>
    </w:p>
    <w:p>
      <w:pPr>
        <w:ind w:right="260" w:firstLine="627"/>
        <w:spacing w:after="0" w:line="298" w:lineRule="auto"/>
        <w:rPr>
          <w:sz w:val="20"/>
          <w:szCs w:val="20"/>
          <w:color w:val="auto"/>
        </w:rPr>
      </w:pPr>
      <w:r>
        <w:rPr>
          <w:rFonts w:ascii="Arial" w:cs="Arial" w:eastAsia="Arial" w:hAnsi="Arial"/>
          <w:sz w:val="17"/>
          <w:szCs w:val="17"/>
          <w:color w:val="auto"/>
        </w:rPr>
        <w:t>In addition, as a condition of approval, or post-approval if it becomes aware of a serious risk associated with the use of the product, the FDA may require the submission of a Risk Evaluation and Mitigation Strategy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(“REMS”), if it determines that a REMS is necessary to ensure that the benefits of the drug outweigh its risks and to assure the safe use of the drug. If the FDA concludes a REMS is needed, the sponsor of the NDA must submit a proposed REMS. The FDA will not approve the NDA without a REMS, if required. A REMS may include one or more elements, including medication guides, physician communication plans, patient package insert and/or elements to assure safe use, such as special training or certification for prescribing or dispensing, restricted distribution methods, special monitoring, patient registries or other risk minimization tools.</w:t>
      </w:r>
    </w:p>
    <w:p>
      <w:pPr>
        <w:spacing w:after="0" w:line="170" w:lineRule="exact"/>
        <w:rPr>
          <w:sz w:val="20"/>
          <w:szCs w:val="20"/>
          <w:color w:val="auto"/>
        </w:rPr>
      </w:pPr>
    </w:p>
    <w:p>
      <w:pPr>
        <w:ind w:right="80" w:firstLine="627"/>
        <w:spacing w:after="0" w:line="266" w:lineRule="auto"/>
        <w:rPr>
          <w:sz w:val="20"/>
          <w:szCs w:val="20"/>
          <w:color w:val="auto"/>
        </w:rPr>
      </w:pPr>
      <w:r>
        <w:rPr>
          <w:rFonts w:ascii="Arial" w:cs="Arial" w:eastAsia="Arial" w:hAnsi="Arial"/>
          <w:sz w:val="17"/>
          <w:szCs w:val="17"/>
          <w:color w:val="auto"/>
        </w:rPr>
        <w:t>Under the Prescription Drug User Fee Act (“PDUFA”) guidelines that are currently in effect, the FDA has a goal of ten months from the date of “filing” of a standard NDA, for a new molecular entity, to review and act on the submission, and six months from the filing date of a new molecular entity NDA with priority review. Accordingly, this review process typically takes 12 months and eight months, respectively, from the date the NDA is submitted to the FDA. The FDA does not always meet its PDUFA goal dates for standard or priority NDAs, and the review process is often extended by FDA requests for additional information or clarification.</w:t>
      </w:r>
    </w:p>
    <w:p>
      <w:pPr>
        <w:spacing w:after="0" w:line="170"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In addition, under the Pediatric Research Equity Act of 2003, as amended (“PREA”),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who is planning to submit a marketing application for a drug that includes a new active ingredient, new indication, new dosage form, new dosing regimen or new route of administration must submit an initial Pediatric Study Plan (“PSP”), within 60 days of an end-of-Phase 2 meeting or, if there is no such meeting, as early as practicable before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82"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The FDA may refer an application for a novel drug or a drug that presents difficult questions of safety or efficacy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5"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generally outlines the deficiencies in the submission and contains a statement of specific conditions that must be met in order to secure final approval of the NDA and it may require additional clinical or preclinical testing in order for FDA to reconsider the application. If a Complete Response Letter is issued, the applicant may resubmit the NDA, addressing all of the deficiencies identified in the letter, withdraw the application, or request a hearing.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384"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color w:val="auto"/>
        </w:rPr>
        <w:t>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Orphan Drug Designation and Exclusivity</w:t>
      </w:r>
    </w:p>
    <w:p>
      <w:pPr>
        <w:spacing w:after="0" w:line="118" w:lineRule="exact"/>
        <w:rPr>
          <w:sz w:val="20"/>
          <w:szCs w:val="20"/>
          <w:color w:val="auto"/>
        </w:rPr>
      </w:pPr>
    </w:p>
    <w:p>
      <w:pPr>
        <w:ind w:right="60" w:firstLine="627"/>
        <w:spacing w:after="0" w:line="264" w:lineRule="auto"/>
        <w:rPr>
          <w:sz w:val="20"/>
          <w:szCs w:val="20"/>
          <w:color w:val="auto"/>
        </w:rPr>
      </w:pPr>
      <w:r>
        <w:rPr>
          <w:rFonts w:ascii="Arial" w:cs="Arial" w:eastAsia="Arial" w:hAnsi="Arial"/>
          <w:sz w:val="17"/>
          <w:szCs w:val="17"/>
          <w:color w:val="auto"/>
        </w:rPr>
        <w:t>Under the Orphan Drug Act, the FDA may grant orphan designation to a drug product intended to treat a rare disease or condition, which is generally a disease or condition that affects either (i) fewer than 200,000 individuals in the U.S. or (ii) more than 200,000 individuals in the U.S. and for which there is no reasonable expectation that the cost of developing and making the product available in the U.S. for this type of disease or condition will be recovered from sales of the product. A company must request orphan drug designation before submitting an NDA. If the request is granted, the FDA will disclose the identity of the therapeutic agent and its potential use. Orphan drug designation does not convey any advantage in or shorten the duration of the regulatory review and approval process.</w:t>
      </w:r>
    </w:p>
    <w:p>
      <w:pPr>
        <w:spacing w:after="0" w:line="17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 product exclusivity. Orphan product exclusivity means that the FDA may not approve any other applications to market the same product for the same indication for seven years, except in certain limited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drug has exclusivity. Orphan drug designation entitles a party to financial incentives such as opportunities for grant funding towards clinical trial costs, tax advantages, and user-fee waivers.</w:t>
      </w:r>
    </w:p>
    <w:p>
      <w:pPr>
        <w:spacing w:after="0" w:line="172" w:lineRule="exact"/>
        <w:rPr>
          <w:sz w:val="20"/>
          <w:szCs w:val="20"/>
          <w:color w:val="auto"/>
        </w:rPr>
      </w:pPr>
    </w:p>
    <w:p>
      <w:pPr>
        <w:ind w:right="20" w:firstLine="627"/>
        <w:spacing w:after="0" w:line="266"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Expedited Development and Review Programs for Drugs</w:t>
      </w:r>
    </w:p>
    <w:p>
      <w:pPr>
        <w:spacing w:after="0" w:line="118" w:lineRule="exact"/>
        <w:rPr>
          <w:sz w:val="20"/>
          <w:szCs w:val="20"/>
          <w:color w:val="auto"/>
        </w:rPr>
      </w:pPr>
    </w:p>
    <w:p>
      <w:pPr>
        <w:ind w:right="200" w:firstLine="627"/>
        <w:spacing w:after="0" w:line="266" w:lineRule="auto"/>
        <w:rPr>
          <w:sz w:val="20"/>
          <w:szCs w:val="20"/>
          <w:color w:val="auto"/>
        </w:rPr>
      </w:pPr>
      <w:r>
        <w:rPr>
          <w:rFonts w:ascii="Arial" w:cs="Arial" w:eastAsia="Arial" w:hAnsi="Arial"/>
          <w:sz w:val="17"/>
          <w:szCs w:val="17"/>
          <w:color w:val="auto"/>
        </w:rPr>
        <w:t>The FDA maintains several programs intended to facilitate and expedite development and review of new drugs that were intended to address unmet medical needs in the treatment of serious or life-threatening diseases or conditions. Some of these programs are referred to as Fast Track designation, Breakthrough Therapy designation, Priority Review and Accelerated Approval, and the purpose of these programs is to either expedite the development or review of important new drugs to get them to patients earlier than under standard FDA development and review procedures.</w:t>
      </w:r>
    </w:p>
    <w:p>
      <w:pPr>
        <w:spacing w:after="0" w:line="170" w:lineRule="exact"/>
        <w:rPr>
          <w:sz w:val="20"/>
          <w:szCs w:val="20"/>
          <w:color w:val="auto"/>
        </w:rPr>
      </w:pPr>
    </w:p>
    <w:p>
      <w:pPr>
        <w:ind w:right="100" w:firstLine="627"/>
        <w:spacing w:after="0" w:line="261" w:lineRule="auto"/>
        <w:rPr>
          <w:sz w:val="20"/>
          <w:szCs w:val="20"/>
          <w:color w:val="auto"/>
        </w:rPr>
      </w:pPr>
      <w:r>
        <w:rPr>
          <w:rFonts w:ascii="Arial" w:cs="Arial" w:eastAsia="Arial" w:hAnsi="Arial"/>
          <w:sz w:val="17"/>
          <w:szCs w:val="17"/>
          <w:color w:val="auto"/>
        </w:rPr>
        <w:t>The FDA has a Fast Track designation program that is intended to expedite or facilitate the process for reviewing new drugs that meet certain criteria. Specifically, new drugs are eligible for Fast Track designation if they are intended, whether alone or in combination with one or more other products,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that the FDA grant the product Fast Track designation any time before receiving NDA approval but ideally no later than the pre-NDA meeting. Fast Track designation provides increased opportunities for sponsor interactions with the FDA review team to expedite development and review of the product. The FDA may also review sections of the NDA for a Fast Track designated product on a rolling basis before the completed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The FDA’s goal for reviewing a Fast Track application does not begin until the last section of the</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NDA is submitted. Fast Track designation may be rescinded if the designation is no longer supported by data emerging in the clinical trial process.</w:t>
      </w:r>
    </w:p>
    <w:p>
      <w:pPr>
        <w:spacing w:after="0" w:line="222" w:lineRule="exact"/>
        <w:rPr>
          <w:sz w:val="20"/>
          <w:szCs w:val="20"/>
          <w:color w:val="auto"/>
        </w:rPr>
      </w:pPr>
    </w:p>
    <w:p>
      <w:pPr>
        <w:ind w:firstLine="627"/>
        <w:spacing w:after="0" w:line="260" w:lineRule="auto"/>
        <w:rPr>
          <w:sz w:val="20"/>
          <w:szCs w:val="20"/>
          <w:color w:val="auto"/>
        </w:rPr>
      </w:pPr>
      <w:r>
        <w:rPr>
          <w:rFonts w:ascii="Arial" w:cs="Arial" w:eastAsia="Arial" w:hAnsi="Arial"/>
          <w:sz w:val="17"/>
          <w:szCs w:val="17"/>
          <w:color w:val="auto"/>
        </w:rPr>
        <w:t>Additionally, a drug may be eligible for designation as a Breakthrough Therapy if the product is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The benefits of Breakthrough Therapy designation include the same benefits as Fast Track designation, plus intensive guidance from the FDA to ensure an efficient drug development program. Breakthrough Therapy designation comes with all of the benefits of Fast Track designation, which means that the sponsor may file sections of the NDA for review on a rolling basis if certain conditions are satisfied, including an agreement with the FDA on the proposed schedule for submission of portions of the application and the payment of applicable user fees before the FDA may initiate a review.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or taking other steps to design the clinical trials in an efficient manner.</w:t>
      </w:r>
    </w:p>
    <w:p>
      <w:pPr>
        <w:spacing w:after="0" w:line="177" w:lineRule="exact"/>
        <w:rPr>
          <w:sz w:val="20"/>
          <w:szCs w:val="20"/>
          <w:color w:val="auto"/>
        </w:rPr>
      </w:pPr>
    </w:p>
    <w:p>
      <w:pPr>
        <w:ind w:right="100" w:firstLine="627"/>
        <w:spacing w:after="0" w:line="261" w:lineRule="auto"/>
        <w:rPr>
          <w:sz w:val="20"/>
          <w:szCs w:val="20"/>
          <w:color w:val="auto"/>
        </w:rPr>
      </w:pPr>
      <w:r>
        <w:rPr>
          <w:rFonts w:ascii="Arial" w:cs="Arial" w:eastAsia="Arial" w:hAnsi="Arial"/>
          <w:sz w:val="17"/>
          <w:szCs w:val="17"/>
          <w:color w:val="auto"/>
        </w:rPr>
        <w:t>A product may also be eligible for priority review if it treats a serious or life-threatening condition and, if approved, would provide a significant improvement in safety and effectiveness compared to available therapies. The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demonstrated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NDA from the date of filing.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72"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A product may also be eligible for accelerated approval if it treats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Accelerated approval by the FDA is generally contingent on a sponsor’s agreement to conduct, in an adequate and diligent manner, additional post-approval confirmatory studies to verify and describe the product’s clinical benefit. These confirmatory trials must be completed with due diligence, and, under the Food and Drug Omnibus Reform Act of 2022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the product from the market (and withdraw its approval).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could result in the FDA’s withdrawal of the approval and require the withdrawal of the product from the market on an expedited basis. All promotional materials for product candidates approved under accelerated regulations are subject to prior review by the FDA.</w:t>
      </w:r>
    </w:p>
    <w:p>
      <w:pPr>
        <w:spacing w:after="0" w:line="391" w:lineRule="exact"/>
        <w:rPr>
          <w:sz w:val="20"/>
          <w:szCs w:val="20"/>
          <w:color w:val="auto"/>
        </w:rPr>
      </w:pPr>
    </w:p>
    <w:p>
      <w:pPr>
        <w:ind w:right="120" w:firstLine="627"/>
        <w:spacing w:after="0" w:line="270"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Fast Track designation, Breakthrough Therapy designation, priority review and accelerated approval do not change the standards for approval and may not ultimately expedite the development or approval process.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Hatch-Waxman Amendments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505 of the FDCA describes three types of marketing applications that may be submitted to the FDA to request marketing</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authorization for a new drug. A Section 505(b)(1) NDA is an application that contains full reports of investigations of safety and efficacy. A 505(b)</w:t>
      </w:r>
    </w:p>
    <w:p>
      <w:pPr>
        <w:spacing w:after="0" w:line="13" w:lineRule="exact"/>
        <w:rPr>
          <w:sz w:val="20"/>
          <w:szCs w:val="20"/>
          <w:color w:val="auto"/>
        </w:rPr>
      </w:pPr>
    </w:p>
    <w:p>
      <w:pPr>
        <w:ind w:firstLine="4"/>
        <w:spacing w:after="0" w:line="258" w:lineRule="auto"/>
        <w:tabs>
          <w:tab w:leader="none" w:pos="261"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other testing.</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Non-Patent Exclusivity</w:t>
      </w:r>
    </w:p>
    <w:p>
      <w:pPr>
        <w:spacing w:after="0" w:line="222"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Under the Hatch-Waxman Amendments, the FDA may not approve (or in some cases accept) an ANDA or 505(b)(2) application until any applicable period of non-patent exclusivity for the RLD has expired. Market exclusivity provisions under the FDCA can delay the submission or the approval of certain follow-on applications. The FDCA provides a five-year period of non-patent data exclusivity within the U.S. to the first applicant to gain approval of an NDA for a new chemical entity (“NCE”). A drug is an NCE if the FDA has not previously approved any other new drug containing the same active moiety, which is the molecule or ion responsible for the physiological or pharmacological action of the drug substance. In cases where such NCE exclusivity has been granted, the FDA may not accept for review an ANDA, for a generic version of the drug or a 505(b)</w:t>
      </w:r>
    </w:p>
    <w:p>
      <w:pPr>
        <w:spacing w:after="0" w:line="3" w:lineRule="exact"/>
        <w:rPr>
          <w:sz w:val="20"/>
          <w:szCs w:val="20"/>
          <w:color w:val="auto"/>
        </w:rPr>
      </w:pPr>
    </w:p>
    <w:p>
      <w:pPr>
        <w:ind w:right="40" w:firstLine="4"/>
        <w:spacing w:after="0" w:line="263" w:lineRule="auto"/>
        <w:tabs>
          <w:tab w:leader="none" w:pos="261" w:val="left"/>
        </w:tabs>
        <w:numPr>
          <w:ilvl w:val="0"/>
          <w:numId w:val="17"/>
        </w:numPr>
        <w:rPr>
          <w:rFonts w:ascii="Arial" w:cs="Arial" w:eastAsia="Arial" w:hAnsi="Arial"/>
          <w:sz w:val="17"/>
          <w:szCs w:val="17"/>
          <w:color w:val="auto"/>
        </w:rPr>
      </w:pPr>
      <w:r>
        <w:rPr>
          <w:rFonts w:ascii="Arial" w:cs="Arial" w:eastAsia="Arial" w:hAnsi="Arial"/>
          <w:sz w:val="17"/>
          <w:szCs w:val="17"/>
          <w:color w:val="auto"/>
        </w:rPr>
        <w:t>NDA for another version of such drug where the applicant does not own or have a legal right of reference to all the data required for approval,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w:t>
      </w:r>
    </w:p>
    <w:p>
      <w:pPr>
        <w:spacing w:after="0" w:line="171" w:lineRule="exact"/>
        <w:rPr>
          <w:sz w:val="20"/>
          <w:szCs w:val="20"/>
          <w:color w:val="auto"/>
        </w:rPr>
      </w:pPr>
    </w:p>
    <w:p>
      <w:pPr>
        <w:ind w:right="120" w:firstLine="627"/>
        <w:spacing w:after="0" w:line="261" w:lineRule="auto"/>
        <w:rPr>
          <w:sz w:val="20"/>
          <w:szCs w:val="20"/>
          <w:color w:val="auto"/>
        </w:rPr>
      </w:pPr>
      <w:r>
        <w:rPr>
          <w:rFonts w:ascii="Arial" w:cs="Arial" w:eastAsia="Arial" w:hAnsi="Arial"/>
          <w:sz w:val="17"/>
          <w:szCs w:val="17"/>
          <w:color w:val="auto"/>
        </w:rPr>
        <w:t>The FDCA also provides three years of market exclusivity for non-NCE NDAs,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period covers only the conditions of use associated with the new clinical investigations and often protects changes to a previously approved drug product, such as a new dosage form, route of administration, combination or indication, but it generally would not protect the original, unmodified product from generic competition. In other words, it does not prohibit the FDA from approving follow-on applications that do not reference the protected clinical data.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75" w:lineRule="exact"/>
        <w:rPr>
          <w:sz w:val="20"/>
          <w:szCs w:val="20"/>
          <w:color w:val="auto"/>
        </w:rPr>
      </w:pPr>
    </w:p>
    <w:p>
      <w:pPr>
        <w:ind w:right="40" w:firstLine="627"/>
        <w:spacing w:after="0" w:line="266" w:lineRule="auto"/>
        <w:rPr>
          <w:sz w:val="20"/>
          <w:szCs w:val="20"/>
          <w:color w:val="auto"/>
        </w:rPr>
      </w:pPr>
      <w:r>
        <w:rPr>
          <w:rFonts w:ascii="Arial" w:cs="Arial" w:eastAsia="Arial" w:hAnsi="Arial"/>
          <w:sz w:val="17"/>
          <w:szCs w:val="17"/>
          <w:color w:val="auto"/>
        </w:rPr>
        <w:t>Pediatric exclusivity is another type of regulatory market exclusivity in the U.S. Pediatric exclusivity, if granted, adds six months to existing regulatory exclusivity periods for all formulations, dosage forms, indications of the active moiety, and listed patent terms. This six-month exclusivity, which runs from the end of other exclusivity protection or patent term, may be granted based on the voluntary completion of a pediatric trial in accordance with an FDA-issued “Written Request” for such a trial, provided that at the time pediatric exclusivity is granted there is not less than nine months of term remaining. The issuance of a Written Request does not require the sponsor to undertake the described clinical trials.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Hatch-Waxman Patent Certification and the 30-Month Stay</w:t>
      </w:r>
    </w:p>
    <w:p>
      <w:pPr>
        <w:spacing w:after="0" w:line="118" w:lineRule="exact"/>
        <w:rPr>
          <w:sz w:val="20"/>
          <w:szCs w:val="20"/>
          <w:color w:val="auto"/>
        </w:rPr>
      </w:pPr>
    </w:p>
    <w:p>
      <w:pPr>
        <w:ind w:right="180" w:firstLine="627"/>
        <w:spacing w:after="0" w:line="268" w:lineRule="auto"/>
        <w:rPr>
          <w:sz w:val="20"/>
          <w:szCs w:val="20"/>
          <w:color w:val="auto"/>
        </w:rPr>
      </w:pPr>
      <w:r>
        <w:rPr>
          <w:rFonts w:ascii="Arial" w:cs="Arial" w:eastAsia="Arial" w:hAnsi="Arial"/>
          <w:sz w:val="17"/>
          <w:szCs w:val="17"/>
          <w:color w:val="auto"/>
        </w:rPr>
        <w:t>In seeking approval of an NDA or a supplement thereto, NDA sponsors are required to list with the FDA each patent with claims that cover the applicant’s product or an approved method of using the product. Upon approval, each of the patents listed by the NDA sponsor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p>
    <w:p>
      <w:pPr>
        <w:spacing w:after="0" w:line="276" w:lineRule="exact"/>
        <w:rPr>
          <w:sz w:val="20"/>
          <w:szCs w:val="20"/>
          <w:color w:val="auto"/>
        </w:rPr>
      </w:pPr>
    </w:p>
    <w:p>
      <w:pPr>
        <w:ind w:left="620" w:hanging="146"/>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 patent information on the drug product that is the subject of the application has been submitted to the FDA;</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such patent has expired;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date on which such patent expires; or</w:t>
      </w:r>
    </w:p>
    <w:p>
      <w:pPr>
        <w:spacing w:after="0" w:line="117" w:lineRule="exact"/>
        <w:rPr>
          <w:rFonts w:ascii="Arial" w:cs="Arial" w:eastAsia="Arial" w:hAnsi="Arial"/>
          <w:sz w:val="17"/>
          <w:szCs w:val="17"/>
          <w:color w:val="auto"/>
        </w:rPr>
      </w:pPr>
    </w:p>
    <w:p>
      <w:pPr>
        <w:ind w:left="640" w:right="580" w:hanging="166"/>
        <w:spacing w:after="0" w:line="298" w:lineRule="auto"/>
        <w:tabs>
          <w:tab w:leader="none" w:pos="6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such patent is invalid, unenforceable or will not be infringed upon by the manufacture, use or sale of the drug product for which the application is submitted.</w:t>
      </w:r>
    </w:p>
    <w:p>
      <w:pPr>
        <w:spacing w:after="0" w:line="141"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 Term Restoration and Extension</w:t>
      </w:r>
    </w:p>
    <w:p>
      <w:pPr>
        <w:spacing w:after="0" w:line="118"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Requirements</w:t>
      </w:r>
    </w:p>
    <w:p>
      <w:pPr>
        <w:spacing w:after="0" w:line="118"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20"/>
        <w:spacing w:after="0" w:line="298" w:lineRule="auto"/>
        <w:rPr>
          <w:sz w:val="20"/>
          <w:szCs w:val="20"/>
          <w:color w:val="auto"/>
        </w:rPr>
      </w:pPr>
      <w:r>
        <w:rPr>
          <w:rFonts w:ascii="Arial" w:cs="Arial" w:eastAsia="Arial" w:hAnsi="Arial"/>
          <w:sz w:val="17"/>
          <w:szCs w:val="17"/>
          <w:color w:val="auto"/>
        </w:rPr>
        <w:t>claims are subject to prior FDA review and approval. There are also annual prescription drug product program fee requirements for marketed products.</w:t>
      </w:r>
    </w:p>
    <w:p>
      <w:pPr>
        <w:spacing w:after="0" w:line="141" w:lineRule="exact"/>
        <w:rPr>
          <w:sz w:val="20"/>
          <w:szCs w:val="20"/>
          <w:color w:val="auto"/>
        </w:rPr>
      </w:pPr>
    </w:p>
    <w:p>
      <w:pPr>
        <w:jc w:val="both"/>
        <w:ind w:right="60" w:firstLine="627"/>
        <w:spacing w:after="0" w:line="277" w:lineRule="auto"/>
        <w:rPr>
          <w:sz w:val="20"/>
          <w:szCs w:val="20"/>
          <w:color w:val="auto"/>
        </w:rPr>
      </w:pPr>
      <w:r>
        <w:rPr>
          <w:rFonts w:ascii="Arial" w:cs="Arial" w:eastAsia="Arial" w:hAnsi="Arial"/>
          <w:sz w:val="17"/>
          <w:szCs w:val="17"/>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59" w:lineRule="exact"/>
        <w:rPr>
          <w:sz w:val="20"/>
          <w:szCs w:val="20"/>
          <w:color w:val="auto"/>
        </w:rPr>
      </w:pPr>
    </w:p>
    <w:p>
      <w:pPr>
        <w:ind w:right="260" w:firstLine="627"/>
        <w:spacing w:after="0" w:line="277" w:lineRule="auto"/>
        <w:rPr>
          <w:sz w:val="20"/>
          <w:szCs w:val="20"/>
          <w:color w:val="auto"/>
        </w:rPr>
      </w:pPr>
      <w:r>
        <w:rPr>
          <w:rFonts w:ascii="Arial" w:cs="Arial" w:eastAsia="Arial" w:hAnsi="Arial"/>
          <w:sz w:val="17"/>
          <w:szCs w:val="17"/>
          <w:color w:val="auto"/>
        </w:rPr>
        <w:t>FDA regulations require that products be manufactured in specific facilities and in accordance with cGMP regulations which require, among other things, quality control and quality assurance, the maintenance of records and documentation and the obligation to investigate and correct any deviations from cGMP.</w:t>
      </w:r>
    </w:p>
    <w:p>
      <w:pPr>
        <w:spacing w:after="0" w:line="159"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and those supplying products, ingredients and components of them are required to register their establishments with the FDA and state agencies and are subject to periodic unannounced inspections by the FDA and these state agencies for compliance with cGMP requirements. Manufacturers and other parties involved in the drug supply chain for prescription drug products must also comply with product tracking and tracing requirements and for notifying FDA of counterfeit, diverted, stolen and intentionally adulterated products or products that are otherwise unfit for distribution in the U.S.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5" w:lineRule="exact"/>
        <w:rPr>
          <w:sz w:val="20"/>
          <w:szCs w:val="20"/>
          <w:color w:val="auto"/>
        </w:rPr>
      </w:pPr>
    </w:p>
    <w:p>
      <w:pPr>
        <w:ind w:right="140" w:firstLine="627"/>
        <w:spacing w:after="0" w:line="264" w:lineRule="auto"/>
        <w:rPr>
          <w:sz w:val="20"/>
          <w:szCs w:val="20"/>
          <w:color w:val="auto"/>
        </w:rPr>
      </w:pPr>
      <w:r>
        <w:rPr>
          <w:rFonts w:ascii="Arial" w:cs="Arial" w:eastAsia="Arial" w:hAnsi="Arial"/>
          <w:sz w:val="17"/>
          <w:szCs w:val="17"/>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Any of these limitations on approval or marketing could restrict the commercial promotion, distribution, prescription or dispensing of products. Other potential consequences include, among other things:</w:t>
      </w:r>
    </w:p>
    <w:p>
      <w:pPr>
        <w:spacing w:after="0" w:line="276" w:lineRule="exact"/>
        <w:rPr>
          <w:sz w:val="20"/>
          <w:szCs w:val="20"/>
          <w:color w:val="auto"/>
        </w:rPr>
      </w:pPr>
    </w:p>
    <w:p>
      <w:pPr>
        <w:ind w:left="620" w:hanging="14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fines, warning letters or clinical holds on post-approval clinical trials;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withdrawal of product approvals;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consent decrees, corporate integrity agreements, debarment or exclusion from federal healthcare programs;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mandated modification of promotional materials and labeling and the issuance of corrective information;</w:t>
      </w:r>
    </w:p>
    <w:p>
      <w:pPr>
        <w:spacing w:after="0" w:line="117" w:lineRule="exact"/>
        <w:rPr>
          <w:rFonts w:ascii="Arial" w:cs="Arial" w:eastAsia="Arial" w:hAnsi="Arial"/>
          <w:sz w:val="17"/>
          <w:szCs w:val="17"/>
          <w:color w:val="auto"/>
        </w:rPr>
      </w:pPr>
    </w:p>
    <w:p>
      <w:pPr>
        <w:ind w:left="640" w:right="100" w:hanging="166"/>
        <w:spacing w:after="0" w:line="298" w:lineRule="auto"/>
        <w:tabs>
          <w:tab w:leader="none" w:pos="6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issuance of safety alerts, Dear Healthcare Provider letters, press releases and other communications containing warnings or other safety information about the product; and</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2" w:lineRule="exact"/>
        <w:rPr>
          <w:sz w:val="20"/>
          <w:szCs w:val="20"/>
          <w:color w:val="auto"/>
        </w:rPr>
      </w:pPr>
    </w:p>
    <w:p>
      <w:pPr>
        <w:ind w:right="40" w:firstLine="627"/>
        <w:spacing w:after="0" w:line="270"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may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w:t>
      </w:r>
    </w:p>
    <w:p>
      <w:pPr>
        <w:spacing w:after="0" w:line="165" w:lineRule="exact"/>
        <w:rPr>
          <w:sz w:val="20"/>
          <w:szCs w:val="20"/>
          <w:color w:val="auto"/>
        </w:rPr>
      </w:pPr>
    </w:p>
    <w:p>
      <w:pPr>
        <w:ind w:right="400" w:firstLine="627"/>
        <w:spacing w:after="0" w:line="298"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(“PDMA”), which regulates the distribution of drugs and drug samples at the federal level and sets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60"/>
        <w:spacing w:after="0" w:line="298" w:lineRule="auto"/>
        <w:rPr>
          <w:sz w:val="20"/>
          <w:szCs w:val="20"/>
          <w:color w:val="auto"/>
        </w:rPr>
      </w:pPr>
      <w:r>
        <w:rPr>
          <w:rFonts w:ascii="Arial" w:cs="Arial" w:eastAsia="Arial" w:hAnsi="Arial"/>
          <w:sz w:val="17"/>
          <w:szCs w:val="17"/>
          <w:color w:val="auto"/>
        </w:rPr>
        <w:t>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41" w:lineRule="exact"/>
        <w:rPr>
          <w:sz w:val="20"/>
          <w:szCs w:val="20"/>
          <w:color w:val="auto"/>
        </w:rPr>
      </w:pPr>
    </w:p>
    <w:p>
      <w:pPr>
        <w:ind w:right="80" w:firstLine="627"/>
        <w:spacing w:after="0" w:line="262" w:lineRule="auto"/>
        <w:rPr>
          <w:sz w:val="20"/>
          <w:szCs w:val="20"/>
          <w:color w:val="auto"/>
        </w:rPr>
      </w:pPr>
      <w:r>
        <w:rPr>
          <w:rFonts w:ascii="Arial" w:cs="Arial" w:eastAsia="Arial" w:hAnsi="Arial"/>
          <w:sz w:val="17"/>
          <w:szCs w:val="17"/>
          <w:color w:val="auto"/>
        </w:rPr>
        <w:t>Failure to comply with any of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evaluated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and/or imposed permanent injunctions under which specified promotional conduct is changed or curtailed.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Review and Approval of Drugs in the European Union</w:t>
      </w:r>
    </w:p>
    <w:p>
      <w:pPr>
        <w:spacing w:after="0" w:line="118" w:lineRule="exact"/>
        <w:rPr>
          <w:sz w:val="20"/>
          <w:szCs w:val="20"/>
          <w:color w:val="auto"/>
        </w:rPr>
      </w:pPr>
    </w:p>
    <w:p>
      <w:pPr>
        <w:ind w:right="40" w:firstLine="627"/>
        <w:spacing w:after="0" w:line="277" w:lineRule="auto"/>
        <w:rPr>
          <w:sz w:val="20"/>
          <w:szCs w:val="20"/>
          <w:color w:val="auto"/>
        </w:rPr>
      </w:pPr>
      <w:r>
        <w:rPr>
          <w:rFonts w:ascii="Arial" w:cs="Arial" w:eastAsia="Arial" w:hAnsi="Arial"/>
          <w:sz w:val="17"/>
          <w:szCs w:val="17"/>
          <w:color w:val="auto"/>
        </w:rPr>
        <w:t>In the EU, the research, development and commercialization of medicinal products are also subject to extensive regulatory requirements. As in the U.S., medicinal products can only be marketed if a marketing authorization (“MA”) from the competent regulatory agencies has been obtained.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Trial Approval</w:t>
      </w:r>
    </w:p>
    <w:p>
      <w:pPr>
        <w:spacing w:after="0" w:line="118"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In April 2014, the European Union adopted a Clinical Trials Regulation (EU) No 536/2014 (the “Clinical Trials Regulation”) which replaced the previous Clinical Trials Directive 2001/20/EC on January 31, 2022, subject to transitional provisions which meant that since January 31, 2025, all clinical trials in the EU have been subject to the Clinical Trials Regulation. The Clinical Trials Regulation is directly applicable in all European Union Member States, meaning no national implementing legislation in each European Union Member State is required. The legislation aims at simplifying and streamlining the approval of clinical trials in the European Union. For instance, the Clinical Trials Regulation provides for a streamlined application procedure via a single entry point and strictly defined deadlines for the assessment of clinical trial applications.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Drug Review and Approval</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European Union, medicinal products can only be commercialized after obtaining an MA. There are two types of MA:</w:t>
      </w:r>
    </w:p>
    <w:p>
      <w:pPr>
        <w:spacing w:after="0" w:line="22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The centralized MA, which is issued by the European Commission through the centralized procedure, based on the opinion of the Committee for Medicinal Products for Human Use of the EMA. A centralized MA is valid throughout the entire territory of the European Union and in the additional Member States of the European Economic Area (“EEA”), which is comprised of the Member States of the European Union plus Norway, Iceland and Liechtenstein. The centralized procedure is mandatory for certain types of products, including medicines produced by certain biotechnological processes, advanced therapy medicinal products (gene-therapy, somatic cell-therapy or tissue-engineered medicines), products designated as orphan medicinal products and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w:t>
      </w:r>
    </w:p>
    <w:p>
      <w:pPr>
        <w:spacing w:after="0" w:line="175"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National MAs, which are issued by the competent authorities of the Member States of the European Union and only cover their respective territory, are available for products not falling within the mandatory scope of the centralized procedure. Where a product has already been authorized for marketing in a Member State of the European Union,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00" w:firstLine="627"/>
        <w:spacing w:after="0" w:line="277"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European Union make an assessment of the risk-benefit balance of the product on the basis of scientific criteria concerning its quality, safety and efficacy. Following approval, MA holders are subject to ongoing obligations, including pharmacovigilance and safety reporting requirements.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Data and Market Exclusivity</w:t>
      </w:r>
    </w:p>
    <w:p>
      <w:pPr>
        <w:spacing w:after="0" w:line="118"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In the European Union, innovative medicinal products approved on the basis of a complete and independent data package qualify for eight years of data exclusivity upon marketing authorization and an additional two years of market exclusivity. The data exclusivity, if granted, prevents generic applicants from referencing the innovator’s preclinical and clinical trial data contained in the dossier of the reference product when applying for a generic (abbreviated) MA, for eight years from the date on which the reference product was first authorized in the European Union. During an additional two-year period of market exclusivity, a generic marketing authorization application can be submitted, and the innovator’s data may be referenced, but no generic or medicinal product can be placed on the European Union market until the expiration of the market exclusivity. The overall ten-year period may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could nevertheless also market another version of the product if such company obtained an MA based on an application with a complete and independent data package of pharmaceutical tests, preclinical tests and clinical trials.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Orphan Drug Designation and Exclusivity</w:t>
      </w:r>
    </w:p>
    <w:p>
      <w:pPr>
        <w:spacing w:after="0" w:line="118"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A product can be designated as an orphan medicinal product by the European Commission if its sponsor can establish that: (1) the product is intended for the diagnosis, prevention or treatment of a life-threatening or chronically debilitating condition; (2) either (a) such condition affects no more than five in 10,000 persons in the European Union when the application is made or (b) it is unlikely that the product, without the benefits derived from orphan status, would generate sufficient return in the European Union to justify the necessary investment in its development; and (3) there exists no satisfactory method of diagnosis, prevention or treatment of such condition authorized for marketing in the European Union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 application if the orphan designation has been granted, but not if the designation is still pending at the time the MA application is submitted. Orphan designation does not convey any advantage in, or shorten the duration of, the regulatory review and approval process.</w:t>
      </w:r>
    </w:p>
    <w:p>
      <w:pPr>
        <w:spacing w:after="0" w:line="17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Products receiving orphan designation in the European Union can receive ten years of market exclusivity, during which time no “similar medicinal product” may be placed on the market in the European Union. A “similar medicinal product” is defined as a medicinal product containing a similar active substance or substances as contained in an authorized orphan medicinal product, and which is intended for the same therapeutic indication. However, an MA may be granted to a similar medicinal product with the same indication as an authorized orphan product during the ten-year period with the consent of the MA holder for the original orphan medicinal product or if the manufacturer of the original orphan medicinal product is unable to supply sufficient quantities. Marketing authorization may also be granted to a similar medicinal product with the same indication as an authorizes orphan product if the applicant can establish that its similar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172" w:lineRule="exact"/>
        <w:rPr>
          <w:sz w:val="20"/>
          <w:szCs w:val="20"/>
          <w:color w:val="auto"/>
        </w:rPr>
      </w:pPr>
    </w:p>
    <w:p>
      <w:pPr>
        <w:ind w:right="280" w:firstLine="627"/>
        <w:spacing w:after="0" w:line="298" w:lineRule="auto"/>
        <w:rPr>
          <w:sz w:val="20"/>
          <w:szCs w:val="20"/>
          <w:color w:val="auto"/>
        </w:rPr>
      </w:pPr>
      <w:r>
        <w:rPr>
          <w:rFonts w:ascii="Arial" w:cs="Arial" w:eastAsia="Arial" w:hAnsi="Arial"/>
          <w:sz w:val="17"/>
          <w:szCs w:val="17"/>
          <w:color w:val="auto"/>
        </w:rPr>
        <w:t>The aforementioned European Union rules are generally applicable in the EEA, which consists of the European Union Member States, plus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Reform of the Regulatory Framework in the European Union</w:t>
      </w:r>
    </w:p>
    <w:p>
      <w:pPr>
        <w:spacing w:after="0" w:line="118" w:lineRule="exact"/>
        <w:rPr>
          <w:sz w:val="20"/>
          <w:szCs w:val="20"/>
          <w:color w:val="auto"/>
        </w:rPr>
      </w:pPr>
    </w:p>
    <w:p>
      <w:pPr>
        <w:ind w:right="140" w:firstLine="627"/>
        <w:spacing w:after="0" w:line="266" w:lineRule="auto"/>
        <w:rPr>
          <w:sz w:val="20"/>
          <w:szCs w:val="20"/>
          <w:color w:val="auto"/>
        </w:rPr>
      </w:pPr>
      <w:r>
        <w:rPr>
          <w:rFonts w:ascii="Arial" w:cs="Arial" w:eastAsia="Arial" w:hAnsi="Arial"/>
          <w:sz w:val="17"/>
          <w:szCs w:val="17"/>
          <w:color w:val="auto"/>
        </w:rPr>
        <w:t>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European Union law.</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U.S. Healthcare Laws and Compliance Requirements</w:t>
      </w:r>
    </w:p>
    <w:p>
      <w:pPr>
        <w:spacing w:after="0" w:line="118"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Healthcare providers, including physicians, and third-party payors play a significant role in determining what drug products are used by patients. Our current and future arrangements with healthcare providers, third party payors, patients and other parties within the healthcare industry as well as our business operations more generally may implicate broadly applicable fraud and abuse and other healthcare laws and regulations. Within the U.S., restrictions under applicable federal and state healthcare laws and regulations, including certain laws and regulations applicable only if we have marketed products, include the following:</w:t>
      </w:r>
    </w:p>
    <w:p>
      <w:pPr>
        <w:spacing w:after="0" w:line="65" w:lineRule="exact"/>
        <w:rPr>
          <w:sz w:val="20"/>
          <w:szCs w:val="20"/>
          <w:color w:val="auto"/>
        </w:rPr>
      </w:pPr>
    </w:p>
    <w:p>
      <w:pPr>
        <w:ind w:left="640" w:right="200" w:hanging="166"/>
        <w:spacing w:after="0" w:line="266"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anti-kickback statute or specific intent to violate it in order to have committed a violation;</w:t>
      </w:r>
    </w:p>
    <w:p>
      <w:pPr>
        <w:spacing w:after="0" w:line="65" w:lineRule="exact"/>
        <w:rPr>
          <w:rFonts w:ascii="Arial" w:cs="Arial" w:eastAsia="Arial" w:hAnsi="Arial"/>
          <w:sz w:val="17"/>
          <w:szCs w:val="17"/>
          <w:color w:val="auto"/>
        </w:rPr>
      </w:pPr>
    </w:p>
    <w:p>
      <w:pPr>
        <w:ind w:left="640" w:hanging="166"/>
        <w:spacing w:after="0" w:line="266"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False Claims Act (“FCA”), which imposes criminal and civil penalties on individuals or entities for knowingly presenting, or causing to be presented, to the federal government, claims for payment that are false or fraudulent or making a false statement to avoid, decrease or conceal an obligation to pay money to the federal government and actions under the FCA may be brought by private whistleblowers as well as the government. In addition, the government may assert that a claim including items and services resulting from a violation of the federal anti-kickback statute constitutes a false or fraudulent claim for purposes of the FCA;</w:t>
      </w:r>
    </w:p>
    <w:p>
      <w:pPr>
        <w:spacing w:after="0" w:line="65" w:lineRule="exact"/>
        <w:rPr>
          <w:rFonts w:ascii="Arial" w:cs="Arial" w:eastAsia="Arial" w:hAnsi="Arial"/>
          <w:sz w:val="17"/>
          <w:szCs w:val="17"/>
          <w:color w:val="auto"/>
        </w:rPr>
      </w:pPr>
    </w:p>
    <w:p>
      <w:pPr>
        <w:ind w:left="640" w:right="100" w:hanging="166"/>
        <w:spacing w:after="0" w:line="277"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54" w:lineRule="exact"/>
        <w:rPr>
          <w:rFonts w:ascii="Arial" w:cs="Arial" w:eastAsia="Arial" w:hAnsi="Arial"/>
          <w:sz w:val="17"/>
          <w:szCs w:val="17"/>
          <w:color w:val="auto"/>
        </w:rPr>
      </w:pPr>
    </w:p>
    <w:p>
      <w:pPr>
        <w:ind w:left="640" w:right="80" w:hanging="166"/>
        <w:spacing w:after="0" w:line="270" w:lineRule="auto"/>
        <w:tabs>
          <w:tab w:leader="none" w:pos="68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as amended,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physicians and third-party payors with whom we interact;</w:t>
      </w:r>
    </w:p>
    <w:p>
      <w:pPr>
        <w:spacing w:after="0" w:line="60" w:lineRule="exact"/>
        <w:rPr>
          <w:rFonts w:ascii="Arial" w:cs="Arial" w:eastAsia="Arial" w:hAnsi="Arial"/>
          <w:sz w:val="17"/>
          <w:szCs w:val="17"/>
          <w:color w:val="auto"/>
        </w:rPr>
      </w:pPr>
    </w:p>
    <w:p>
      <w:pPr>
        <w:ind w:left="640" w:right="320" w:hanging="166"/>
        <w:spacing w:after="0" w:line="298"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6" w:lineRule="exact"/>
        <w:rPr>
          <w:rFonts w:ascii="Arial" w:cs="Arial" w:eastAsia="Arial" w:hAnsi="Arial"/>
          <w:sz w:val="17"/>
          <w:szCs w:val="17"/>
          <w:color w:val="auto"/>
        </w:rPr>
      </w:pPr>
    </w:p>
    <w:p>
      <w:pPr>
        <w:ind w:left="640" w:right="640" w:hanging="166"/>
        <w:spacing w:after="0" w:line="298"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FDCA, which, among other things, strictly regulates drug product and medical device marketing, prohibits manufacturers from marketing such products for off-label use and regulates the distribution of samples;</w:t>
      </w:r>
    </w:p>
    <w:p>
      <w:pPr>
        <w:spacing w:after="0" w:line="36" w:lineRule="exact"/>
        <w:rPr>
          <w:rFonts w:ascii="Arial" w:cs="Arial" w:eastAsia="Arial" w:hAnsi="Arial"/>
          <w:sz w:val="17"/>
          <w:szCs w:val="17"/>
          <w:color w:val="auto"/>
        </w:rPr>
      </w:pPr>
    </w:p>
    <w:p>
      <w:pPr>
        <w:ind w:left="640" w:right="80" w:hanging="166"/>
        <w:spacing w:after="0" w:line="277"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federal laws, such as the Medicaid Drug Rebate Program, that require pharmaceutical manufacturers to report certain calculated product prices to the government or provide certain discounts or rebates to government authorities or private entities, often as a condition of reimbursement under governmental healthcare programs;</w:t>
      </w:r>
    </w:p>
    <w:p>
      <w:pPr>
        <w:spacing w:after="0" w:line="54" w:lineRule="exact"/>
        <w:rPr>
          <w:rFonts w:ascii="Arial" w:cs="Arial" w:eastAsia="Arial" w:hAnsi="Arial"/>
          <w:sz w:val="17"/>
          <w:szCs w:val="17"/>
          <w:color w:val="auto"/>
        </w:rPr>
      </w:pPr>
    </w:p>
    <w:p>
      <w:pPr>
        <w:ind w:left="640" w:right="560" w:hanging="166"/>
        <w:spacing w:after="0" w:line="298"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federal and state consumer protection and unfair competition laws, which broadly regulate marketplace activities and activities that potentially harm consumers;</w:t>
      </w:r>
    </w:p>
    <w:p>
      <w:pPr>
        <w:spacing w:after="0" w:line="36" w:lineRule="exact"/>
        <w:rPr>
          <w:rFonts w:ascii="Arial" w:cs="Arial" w:eastAsia="Arial" w:hAnsi="Arial"/>
          <w:sz w:val="17"/>
          <w:szCs w:val="17"/>
          <w:color w:val="auto"/>
        </w:rPr>
      </w:pPr>
    </w:p>
    <w:p>
      <w:pPr>
        <w:ind w:left="640" w:right="140" w:hanging="166"/>
        <w:spacing w:after="0" w:line="277"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so-called federal “sunshine law” or Open Payments which requires manufacturers of drugs, devices, biologics, and medical supplies to report to the Centers for Medicare &amp; Medicaid Services information related to payments and other transfers of value to teaching hospitals, physicians, and other healthcare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practitioners, as well as ownership and investment interests held by physicians and their immediate family members; and</w:t>
      </w:r>
    </w:p>
    <w:p>
      <w:pPr>
        <w:spacing w:after="0" w:line="118" w:lineRule="exact"/>
        <w:rPr>
          <w:sz w:val="20"/>
          <w:szCs w:val="20"/>
          <w:color w:val="auto"/>
        </w:rPr>
      </w:pPr>
    </w:p>
    <w:p>
      <w:pPr>
        <w:ind w:left="640" w:hanging="166"/>
        <w:spacing w:after="0" w:line="262" w:lineRule="auto"/>
        <w:tabs>
          <w:tab w:leader="none" w:pos="6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and state laws which regulate interactions between pharmaceutical companies and healthcare providers, require pharmaceutical companies to comply with the pharmaceutical industry’s voluntary compliance guidelines and the relevant compliance guidance promulgated by the federal government, require pharmaceutical companies to report information on transfers of value to other healthcare providers, marketing expenditures or pricing information and/or require licensing of sales representatives. State laws also govern the privacy and security of health information in some circumstances, many of which differ from each other in significant ways and often are not preempted by HIPAA, thus complicating compliance efforts.</w:t>
      </w:r>
    </w:p>
    <w:p>
      <w:pPr>
        <w:spacing w:after="0" w:line="173" w:lineRule="exact"/>
        <w:rPr>
          <w:sz w:val="20"/>
          <w:szCs w:val="20"/>
          <w:color w:val="auto"/>
        </w:rPr>
      </w:pPr>
    </w:p>
    <w:p>
      <w:pPr>
        <w:ind w:right="80" w:firstLine="627"/>
        <w:spacing w:after="0" w:line="270" w:lineRule="auto"/>
        <w:rPr>
          <w:sz w:val="20"/>
          <w:szCs w:val="20"/>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storage and security requirements intended to prevent the unauthorized sale of pharmaceutical products.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165" w:lineRule="exact"/>
        <w:rPr>
          <w:sz w:val="20"/>
          <w:szCs w:val="20"/>
          <w:color w:val="auto"/>
        </w:rPr>
      </w:pPr>
    </w:p>
    <w:p>
      <w:pPr>
        <w:ind w:right="20" w:firstLine="627"/>
        <w:spacing w:after="0" w:line="260" w:lineRule="auto"/>
        <w:rPr>
          <w:sz w:val="20"/>
          <w:szCs w:val="20"/>
          <w:color w:val="auto"/>
        </w:rPr>
      </w:pPr>
      <w:r>
        <w:rPr>
          <w:rFonts w:ascii="Arial" w:cs="Arial" w:eastAsia="Arial" w:hAnsi="Arial"/>
          <w:sz w:val="17"/>
          <w:szCs w:val="17"/>
          <w:color w:val="auto"/>
        </w:rPr>
        <w:t>Given the breadth of the laws and regulations and narrowness of any exceptions, limited guidance for certain laws and regulations and evolving government interpretations of the laws and regulations, it is possible that some of our business activities could be subject to challenge under one or more of such laws.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389"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exclusion from participation in governmental healthcare programs, disgorgement, fines or imprisonment.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118"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In the U.S.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172" w:lineRule="exact"/>
        <w:rPr>
          <w:sz w:val="20"/>
          <w:szCs w:val="20"/>
          <w:color w:val="auto"/>
        </w:rPr>
      </w:pPr>
    </w:p>
    <w:p>
      <w:pPr>
        <w:ind w:right="140" w:firstLine="627"/>
        <w:spacing w:after="0" w:line="277" w:lineRule="auto"/>
        <w:rPr>
          <w:sz w:val="20"/>
          <w:szCs w:val="20"/>
          <w:color w:val="auto"/>
        </w:rPr>
      </w:pPr>
      <w:r>
        <w:rPr>
          <w:rFonts w:ascii="Arial" w:cs="Arial" w:eastAsia="Arial" w:hAnsi="Arial"/>
          <w:sz w:val="17"/>
          <w:szCs w:val="17"/>
          <w:color w:val="auto"/>
        </w:rPr>
        <w:t>Within the U.S., the federal government and individual states have aggressively pursued healthcare reform. For example, the Affordable Care Act (“ACA”), implemented in 2010, substantially changed the way healthcare is financed by both governmental and private insurers and contains a number of provisions that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could also affect our business.</w:t>
      </w:r>
    </w:p>
    <w:p>
      <w:pPr>
        <w:spacing w:after="0" w:line="380"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Beyond the ACA, there have been ongoing health care reform efforts. Drug pricing and payment reform has been an ongoing focus of the Trump Administration and was a focus of the Biden Administration. For example, federal legislation enacted in 2021 eliminated the statutory cap on Medicaid drug rebate program rebates (currently set at 100% of a drug’s “average manufacturer price”) effective January 1, 2024. As another example, the Inflation Reduction Act of 2022 (“IRA”) includes a number of changes intended to address rising prescription drug prices in Medicare Parts B and D. These changes, which have varying implementation dates, include caps on Medicare Part D out-of-pocket costs for beneficiaries, Medicare Part B and Part D drug price inflation rebates, a new Medicare Part D manufacturer discount drug program (replacing the ACA Medicare Part D coverage gap discount program) and a drug price negotiation program for certain high spend Medicare Part B and D drugs (with the first set of negotiated prices having gone into effect January 1, 2026). The focus on health care reform, including reform of drug pricing and payment, has continued in the wake of the IRA.</w:t>
      </w:r>
    </w:p>
    <w:p>
      <w:pPr>
        <w:spacing w:after="0" w:line="175" w:lineRule="exact"/>
        <w:rPr>
          <w:sz w:val="20"/>
          <w:szCs w:val="20"/>
          <w:color w:val="auto"/>
        </w:rPr>
      </w:pPr>
    </w:p>
    <w:p>
      <w:pPr>
        <w:ind w:right="240" w:firstLine="627"/>
        <w:spacing w:after="0" w:line="270" w:lineRule="auto"/>
        <w:rPr>
          <w:sz w:val="20"/>
          <w:szCs w:val="20"/>
          <w:color w:val="auto"/>
        </w:rPr>
      </w:pPr>
      <w:r>
        <w:rPr>
          <w:rFonts w:ascii="Arial" w:cs="Arial" w:eastAsia="Arial" w:hAnsi="Arial"/>
          <w:sz w:val="17"/>
          <w:szCs w:val="17"/>
          <w:color w:val="auto"/>
        </w:rPr>
        <w:t>The One Big Beautiful Bill Act of 2025 (“OBBBA”), for example, imposed significant reductions in Medicaid funding, additional work requirements for Medicaid recipients, and more frequent reenrollment requirements. These changes are expected to place substantial pressure on state Medicaid budgets, reduce enrollment, and limit covered services, which could decrease utilization of, and reimbursement for, our products, if approved.</w:t>
      </w:r>
    </w:p>
    <w:p>
      <w:pPr>
        <w:spacing w:after="0" w:line="165"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 Trump Administration has issued executive orders and supported proposed regulatory initiatives in 2025 that could have a significant impact on the prices that we, or any collaborators, may receive for any approved products.</w:t>
      </w:r>
    </w:p>
    <w:p>
      <w:pPr>
        <w:spacing w:after="0" w:line="172" w:lineRule="exact"/>
        <w:rPr>
          <w:sz w:val="20"/>
          <w:szCs w:val="20"/>
          <w:color w:val="auto"/>
        </w:rPr>
      </w:pPr>
    </w:p>
    <w:p>
      <w:pPr>
        <w:ind w:right="20" w:firstLine="627"/>
        <w:spacing w:after="0" w:line="261" w:lineRule="auto"/>
        <w:rPr>
          <w:sz w:val="20"/>
          <w:szCs w:val="20"/>
          <w:color w:val="auto"/>
        </w:rPr>
      </w:pPr>
      <w:r>
        <w:rPr>
          <w:rFonts w:ascii="Arial" w:cs="Arial" w:eastAsia="Arial" w:hAnsi="Arial"/>
          <w:sz w:val="17"/>
          <w:szCs w:val="17"/>
          <w:color w:val="auto"/>
        </w:rPr>
        <w:t>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spacing w:after="0" w:line="172" w:lineRule="exact"/>
        <w:rPr>
          <w:sz w:val="20"/>
          <w:szCs w:val="20"/>
          <w:color w:val="auto"/>
        </w:rPr>
      </w:pPr>
    </w:p>
    <w:p>
      <w:pPr>
        <w:ind w:right="40" w:firstLine="627"/>
        <w:spacing w:after="0" w:line="262" w:lineRule="auto"/>
        <w:rPr>
          <w:sz w:val="20"/>
          <w:szCs w:val="20"/>
          <w:color w:val="auto"/>
        </w:rPr>
      </w:pPr>
      <w:r>
        <w:rPr>
          <w:rFonts w:ascii="Arial" w:cs="Arial" w:eastAsia="Arial" w:hAnsi="Arial"/>
          <w:sz w:val="17"/>
          <w:szCs w:val="17"/>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159" w:lineRule="exact"/>
        <w:rPr>
          <w:sz w:val="20"/>
          <w:szCs w:val="20"/>
          <w:color w:val="auto"/>
        </w:rPr>
      </w:pPr>
    </w:p>
    <w:p>
      <w:pPr>
        <w:ind w:right="180" w:firstLine="627"/>
        <w:spacing w:after="0" w:line="263" w:lineRule="auto"/>
        <w:rPr>
          <w:sz w:val="20"/>
          <w:szCs w:val="20"/>
          <w:color w:val="auto"/>
        </w:rPr>
      </w:pPr>
      <w:r>
        <w:rPr>
          <w:rFonts w:ascii="Arial" w:cs="Arial" w:eastAsia="Arial" w:hAnsi="Arial"/>
          <w:sz w:val="17"/>
          <w:szCs w:val="17"/>
          <w:color w:val="auto"/>
        </w:rPr>
        <w:t>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We expect that additional state and federal healthcare reform measures will be adopted in the future, particularly in light of the new presidential administration, any of which could limit the amounts that federal and state governments will pay for healthcare products and services.</w:t>
      </w:r>
    </w:p>
    <w:p>
      <w:pPr>
        <w:spacing w:after="0" w:line="171"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Healthcare reform efforts have been and may continue to be subject to scrutiny and legal challenge. For example, with respect to the 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subsequent legislation imposed a moratorium on implementation of the rule until January 2032. As another example, the IRA drug price negotiation program has been challenged in litigation filed by various pharmaceutical manufacturers and industry groups.</w:t>
      </w:r>
    </w:p>
    <w:p>
      <w:pPr>
        <w:spacing w:after="0" w:line="173"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potential product candidates.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Political, economic and regulatory developments may further complicate pricing negotiations, and pricing negotiations may continue after reimbursement has been obtained. Reference pricing used by various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118" w:lineRule="exact"/>
        <w:rPr>
          <w:sz w:val="20"/>
          <w:szCs w:val="20"/>
          <w:color w:val="auto"/>
        </w:rPr>
      </w:pPr>
    </w:p>
    <w:p>
      <w:pPr>
        <w:ind w:right="40" w:firstLine="627"/>
        <w:spacing w:after="0" w:line="262"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negotiations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3" w:lineRule="exact"/>
        <w:rPr>
          <w:sz w:val="20"/>
          <w:szCs w:val="20"/>
          <w:color w:val="auto"/>
        </w:rPr>
      </w:pPr>
    </w:p>
    <w:p>
      <w:pPr>
        <w:ind w:right="200" w:firstLine="627"/>
        <w:spacing w:after="0" w:line="270"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by a third-party payor may depend upon a number of factors, including the third-party payor’s determination that use of a product is:</w:t>
      </w:r>
    </w:p>
    <w:p>
      <w:pPr>
        <w:spacing w:after="0" w:line="118" w:lineRule="exact"/>
        <w:rPr>
          <w:sz w:val="20"/>
          <w:szCs w:val="20"/>
          <w:color w:val="auto"/>
        </w:rPr>
      </w:pPr>
    </w:p>
    <w:p>
      <w:pPr>
        <w:ind w:left="620" w:hanging="146"/>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222" w:lineRule="exact"/>
        <w:rPr>
          <w:sz w:val="20"/>
          <w:szCs w:val="20"/>
          <w:color w:val="auto"/>
        </w:rPr>
      </w:pPr>
    </w:p>
    <w:p>
      <w:pPr>
        <w:ind w:right="20" w:firstLine="627"/>
        <w:spacing w:after="0" w:line="263" w:lineRule="auto"/>
        <w:rPr>
          <w:sz w:val="20"/>
          <w:szCs w:val="20"/>
          <w:color w:val="auto"/>
        </w:rPr>
      </w:pPr>
      <w:r>
        <w:rPr>
          <w:rFonts w:ascii="Arial" w:cs="Arial" w:eastAsia="Arial" w:hAnsi="Arial"/>
          <w:sz w:val="17"/>
          <w:szCs w:val="17"/>
          <w:color w:val="auto"/>
        </w:rPr>
        <w:t>In the U.S., there is no uniform policy of coverage and reimbursement for products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The availability and adequacy of coverage and reimbursement by governmental healthcare programs such as Medicare and Medicaid, private health insurers and other third -party payors are essential for most patients to be able to afford our product candidates, if approved, and so will significantly affect our ability to successfully commercialize any such product candidates.</w:t>
      </w:r>
    </w:p>
    <w:p>
      <w:pPr>
        <w:spacing w:after="0" w:line="171" w:lineRule="exact"/>
        <w:rPr>
          <w:sz w:val="20"/>
          <w:szCs w:val="20"/>
          <w:color w:val="auto"/>
        </w:rPr>
      </w:pPr>
    </w:p>
    <w:p>
      <w:pPr>
        <w:ind w:firstLine="627"/>
        <w:spacing w:after="0" w:line="260"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third-party payors have attempted to control costs by limiting coverage and the amount of reimbursement for particular medications. Coverage may not be available for any product that we commercialize or may be subject to controls imposed by third party payors to manage utilization (e.g., requiring specific approval for use of a product in a particular patient for coverage). Even if coverage is available, the resulting reimbursement payment rates may not be adequate or may require patient out-of-pocket costs that patients find unacceptably high.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Additionally, we, or our collaborators, will be required to obtain coverage and reimbursement for any companion diagnostic tests developed separate and apart from the coverage and reimbursement we may seek for our product candidates, once approved.</w:t>
      </w:r>
    </w:p>
    <w:p>
      <w:pPr>
        <w:spacing w:after="0" w:line="177" w:lineRule="exact"/>
        <w:rPr>
          <w:sz w:val="20"/>
          <w:szCs w:val="20"/>
          <w:color w:val="auto"/>
        </w:rPr>
      </w:pPr>
    </w:p>
    <w:p>
      <w:pPr>
        <w:ind w:right="60" w:firstLine="627"/>
        <w:spacing w:after="0" w:line="260"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similar regulatory authorities outside of the U.S.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requested by private payors and by any future relaxation of laws that presently restrict imports of drugs from countries where they may be sold at lower prices than in the U.S.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7"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20"/>
        <w:spacing w:after="0" w:line="298" w:lineRule="auto"/>
        <w:rPr>
          <w:sz w:val="20"/>
          <w:szCs w:val="20"/>
          <w:color w:val="auto"/>
        </w:rPr>
      </w:pPr>
      <w:r>
        <w:rPr>
          <w:rFonts w:ascii="Arial" w:cs="Arial" w:eastAsia="Arial" w:hAnsi="Arial"/>
          <w:sz w:val="17"/>
          <w:szCs w:val="17"/>
          <w:color w:val="auto"/>
        </w:rPr>
        <w:t>adopt a system of direct or indirect controls on the profitability of the company placing the medicinal product on the market. Historically, products launched in the European Union do not follow price structures of the U.S. and generally prices tend to be significantly lower.</w:t>
      </w:r>
    </w:p>
    <w:p>
      <w:pPr>
        <w:spacing w:after="0" w:line="141" w:lineRule="exact"/>
        <w:rPr>
          <w:sz w:val="20"/>
          <w:szCs w:val="20"/>
          <w:color w:val="auto"/>
        </w:rPr>
      </w:pPr>
    </w:p>
    <w:p>
      <w:pPr>
        <w:ind w:right="60" w:firstLine="627"/>
        <w:spacing w:after="0" w:line="270" w:lineRule="auto"/>
        <w:rPr>
          <w:sz w:val="20"/>
          <w:szCs w:val="20"/>
          <w:color w:val="auto"/>
        </w:rPr>
      </w:pPr>
      <w:r>
        <w:rPr>
          <w:rFonts w:ascii="Arial" w:cs="Arial" w:eastAsia="Arial" w:hAnsi="Arial"/>
          <w:sz w:val="17"/>
          <w:szCs w:val="17"/>
          <w:color w:val="auto"/>
        </w:rPr>
        <w:t>There can be no assurance that our product candidates, even if they are approved for sale in the U.S.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Privacy and Security Laws</w:t>
      </w:r>
    </w:p>
    <w:p>
      <w:pPr>
        <w:spacing w:after="0" w:line="120"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U.S., such laws and regulations include data breach notification laws, consumer privacy laws, health information privacy and security laws and consumer protection laws. Privacy and security laws, regulations and other obligations are constantly evolving and may conflict with each other to complicate compliance. The federal government and several states have also recently taken steps to restrict data transactions involving countries outside the U.S. For example, the Department of Justice’s January 8, 2025, Rule on Preventing Access to U.S. Sensitive Personal Data and Government-Related Data by Countries of Concern or Covered Persons, prohibits transfers of certain types of data, including health data, genetic data, and biospecimens, to countries of concern, including China. Actual or alleged violations of these laws and regulations may be punishable by criminal and/or civil sanctions.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Human Capital Resources</w:t>
      </w:r>
    </w:p>
    <w:p>
      <w:pPr>
        <w:spacing w:after="0" w:line="120" w:lineRule="exact"/>
        <w:rPr>
          <w:sz w:val="20"/>
          <w:szCs w:val="20"/>
          <w:color w:val="auto"/>
        </w:rPr>
      </w:pPr>
    </w:p>
    <w:p>
      <w:pPr>
        <w:ind w:right="300" w:firstLine="627"/>
        <w:spacing w:after="0" w:line="270" w:lineRule="auto"/>
        <w:rPr>
          <w:sz w:val="20"/>
          <w:szCs w:val="20"/>
          <w:color w:val="auto"/>
        </w:rPr>
      </w:pPr>
      <w:r>
        <w:rPr>
          <w:rFonts w:ascii="Arial" w:cs="Arial" w:eastAsia="Arial" w:hAnsi="Arial"/>
          <w:sz w:val="17"/>
          <w:szCs w:val="17"/>
          <w:color w:val="auto"/>
        </w:rPr>
        <w:t>As of February 15, 2026, we had 59 full-time employees, of which 15 had M.D. or Ph.D. degrees. Within our workforce, 31 employees were engaged in research and development and 28 were engaged in general and administrative activities, including business development, finance, legal and corporate administration as of February 15, 2026. None of our employees are represented by labor unions or covered by collective bargaining agreements. We consider our relationship with our employees to be good.</w:t>
      </w:r>
    </w:p>
    <w:p>
      <w:pPr>
        <w:spacing w:after="0" w:line="165" w:lineRule="exact"/>
        <w:rPr>
          <w:sz w:val="20"/>
          <w:szCs w:val="20"/>
          <w:color w:val="auto"/>
        </w:rPr>
      </w:pPr>
    </w:p>
    <w:p>
      <w:pPr>
        <w:ind w:right="160" w:firstLine="627"/>
        <w:spacing w:after="0" w:line="270"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support the success of our company by motivating such individuals to perform to the best of their abilities and achieve our objectives.</w:t>
      </w:r>
    </w:p>
    <w:p>
      <w:pPr>
        <w:spacing w:after="0" w:line="165" w:lineRule="exact"/>
        <w:rPr>
          <w:sz w:val="20"/>
          <w:szCs w:val="20"/>
          <w:color w:val="auto"/>
        </w:rPr>
      </w:pPr>
    </w:p>
    <w:p>
      <w:pPr>
        <w:ind w:right="60" w:firstLine="627"/>
        <w:spacing w:after="0" w:line="270" w:lineRule="auto"/>
        <w:rPr>
          <w:sz w:val="20"/>
          <w:szCs w:val="20"/>
          <w:color w:val="auto"/>
        </w:rPr>
      </w:pPr>
      <w:r>
        <w:rPr>
          <w:rFonts w:ascii="Arial" w:cs="Arial" w:eastAsia="Arial" w:hAnsi="Arial"/>
          <w:sz w:val="17"/>
          <w:szCs w:val="17"/>
          <w:color w:val="auto"/>
        </w:rPr>
        <w:t>We believe that our future success largely depends upon our continued ability to attract and retain highly skilled employees. We provide our employees with competitive salaries and bonuses, opportunities for equity ownership, professional development programs that enable continued learning and growth and a robust employment package that promotes well-being across multiple aspects of employees' lives, including health care, retirement planning and paid time off.</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20" w:lineRule="exact"/>
        <w:rPr>
          <w:sz w:val="20"/>
          <w:szCs w:val="20"/>
          <w:color w:val="auto"/>
        </w:rPr>
      </w:pPr>
    </w:p>
    <w:p>
      <w:pPr>
        <w:ind w:right="40" w:firstLine="627"/>
        <w:spacing w:after="0" w:line="270" w:lineRule="auto"/>
        <w:rPr>
          <w:sz w:val="20"/>
          <w:szCs w:val="20"/>
          <w:color w:val="auto"/>
        </w:rPr>
      </w:pPr>
      <w:r>
        <w:rPr>
          <w:rFonts w:ascii="Arial" w:cs="Arial" w:eastAsia="Arial" w:hAnsi="Arial"/>
          <w:sz w:val="17"/>
          <w:szCs w:val="17"/>
          <w:color w:val="auto"/>
        </w:rPr>
        <w:t>We were incorporated under the laws of the State of Delaware in August 2019 under the name Sling Therapeutics, Inc., and changed our name to Sionna Therapeutics, Inc. in November 2021. Our principal executive offices are located at 21 Hickory Drive, Suite 500, Waltham, MA 02451, and our telephone number is (617) 819-2020. We have one subsidiary, Sionna Therapeutics Securities Corporation (f/k/a Sling Therapeutics Securities Corporation), formed in 2020 under the laws of the Commonwealth of Massachusetts.</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07" w:lineRule="exact"/>
        <w:rPr>
          <w:sz w:val="20"/>
          <w:szCs w:val="20"/>
          <w:color w:val="auto"/>
        </w:rPr>
      </w:pPr>
    </w:p>
    <w:p>
      <w:pPr>
        <w:ind w:right="180" w:firstLine="627"/>
        <w:spacing w:after="0" w:line="254"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www.sionnatx.com</w:t>
      </w:r>
      <w:r>
        <w:rPr>
          <w:rFonts w:ascii="Arial" w:cs="Arial" w:eastAsia="Arial" w:hAnsi="Arial"/>
          <w:sz w:val="17"/>
          <w:szCs w:val="17"/>
          <w:color w:val="auto"/>
        </w:rPr>
        <w:t>. The information contained in or accessible from our website is not incorporated into this Annual Report, and you should not consider it part of this Annual Report. We have included our website address in this Annual Report solely as an inactive textual reference. Our Annual Reports on Form 10-K, Quarterly Reports on Form 10-Q, Current Reports on Form 8-K, including exhibits, proxy and information statements and amendments to those reports filed or furnished pursuant to Sections 13(a), 14, and</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 xml:space="preserve">15(d) of the Securities Exchange Act of 1934, as amended, are available through the “Investors” portion of our website free of charge as soon as reasonably practicable after we electronically file such material with, or furnish it to, the Securities and Exchange Commission (the "SEC"). Information on our website is not part of this Annual Report or any of our other securities filings unless specifically incorporated herein by reference. In addition, our filings with the SEC may be accessed through the SEC’s Interactive Data Electronic Applications system at </w:t>
      </w:r>
      <w:r>
        <w:rPr>
          <w:rFonts w:ascii="Arial" w:cs="Arial" w:eastAsia="Arial" w:hAnsi="Arial"/>
          <w:sz w:val="17"/>
          <w:szCs w:val="17"/>
          <w:i w:val="1"/>
          <w:iCs w:val="1"/>
          <w:color w:val="auto"/>
        </w:rPr>
        <w:t>www.sec.gov</w:t>
      </w:r>
      <w:r>
        <w:rPr>
          <w:rFonts w:ascii="Arial" w:cs="Arial" w:eastAsia="Arial" w:hAnsi="Arial"/>
          <w:sz w:val="17"/>
          <w:szCs w:val="17"/>
          <w:color w:val="auto"/>
        </w:rPr>
        <w:t>. All statements made in any of our securities filings, including all forward-looking statements or information, are made as of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document in which the statement is included, and we do not assume or undertake any obligation to update any of those statements or documents unless we are required to do so by law.</w:t>
      </w:r>
    </w:p>
    <w:p>
      <w:pPr>
        <w:spacing w:after="0" w:line="158" w:lineRule="exact"/>
        <w:rPr>
          <w:sz w:val="20"/>
          <w:szCs w:val="20"/>
          <w:color w:val="auto"/>
        </w:rPr>
      </w:pPr>
    </w:p>
    <w:p>
      <w:pPr>
        <w:ind w:right="240" w:firstLine="627"/>
        <w:spacing w:after="0" w:line="254" w:lineRule="auto"/>
        <w:rPr>
          <w:sz w:val="20"/>
          <w:szCs w:val="20"/>
          <w:color w:val="auto"/>
        </w:rPr>
      </w:pPr>
      <w:r>
        <w:rPr>
          <w:rFonts w:ascii="Arial" w:cs="Arial" w:eastAsia="Arial" w:hAnsi="Arial"/>
          <w:sz w:val="17"/>
          <w:szCs w:val="17"/>
          <w:color w:val="auto"/>
        </w:rPr>
        <w:t>Our code of business conduct and ethics, corporate governance guidelines and the charters of our Audit Committee, Compensation Committee and Nominating and Corporate Governance Committee are available through the “Investors” portion of our website. Additionally, we routinely post information to the “Investors” section of our website that may be important to investors. We encourage investors and potential investors to consult our website regularly for information about our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4" w:lineRule="exact"/>
        <w:rPr>
          <w:sz w:val="20"/>
          <w:szCs w:val="20"/>
          <w:color w:val="auto"/>
        </w:rPr>
      </w:pPr>
    </w:p>
    <w:p>
      <w:pPr>
        <w:ind w:right="120" w:firstLine="627"/>
        <w:spacing w:after="0" w:line="262"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Annual Report due to the risks and uncertainties described below. You should consider carefully the following information about risks below in evaluating our business. If any of the following risks actually occur, our business, financial condition, results of operations and future growth prospects will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3 of this Annual Report for discussion of some of the forward-looking statements that are qualified by these risk factors. Factors that could cause or contribute to such differences include those factors discussed below.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Limited Operating History, Financial Condition and Need for Additional Capital</w:t>
      </w:r>
    </w:p>
    <w:p>
      <w:pPr>
        <w:spacing w:after="0" w:line="12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We are a clinical-stage biopharmaceutical company and have incurred significant operating losses since inception and anticipate that we will continue to incur significant operating losses for the foreseeable future. Our net losses were $75.3 million and $61.7 million for the years ended December 31, 2025 and 2024, respectively. We had an accumulated deficit of $256.4 million and $181.1 million as of December 31, 2025 and 2024, respectively. We may never achieve or maintain profitability.</w:t>
      </w:r>
    </w:p>
    <w:p>
      <w:pPr>
        <w:spacing w:after="0" w:line="50"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We are a clinical-stage biopharmaceutical company with a limited operating history. We have incurred operating losses in each year since our inception. Our net losses were $75.3 million and $61.7 million for the years ended December 31, 2025 and 2024, respectively. We had an accumulated deficit of $256.4 million and $181.1 million as of December 31, 2025 and 2024, respectively. Substantially all of our operating losses have resulted from costs incurred in connection with our research and development programs and from general and administrative costs associated with our operations. Our prior losses, combined with expected future losses, have had and will continue to have an adverse effect on our stockholders’ equity and working capital.</w:t>
      </w:r>
    </w:p>
    <w:p>
      <w:pPr>
        <w:spacing w:after="0" w:line="17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Since our inception in 2019, we have devoted substantially all of our efforts and financial resources to the development of our product candidates, the continuation of ongoing clinical trials, the commencement of new clinical trials and ongoing manufacturing to support our product candidates. Biopharmaceutical product development is a highly speculative undertaking and involves a substantial degree of risk. We have not yet demonstrated an ability to conduct later-stage clinical trials, obtain regulatory approval, manufacture any product on a commercial scale or conduct sales and marketing activities necessary for successful product commercialization, and there is no assurance that we will accomplish any of these abilities in the future. Our limited operating history makes any assessment of our future success and viability subject to significant uncertainty. In addition, if we obtain marketing approval for any of our product candidates, we will incur significant sales, marketing and manufacturing expenses. We expect to continue to incur significant costs associated with operating as a public company. As a result, we expect to continue to incur significant expenses and increasing operating losses for the foreseeable future. Because of the numerous risks and uncertainties associated with developing pharmaceutical products, we are unable to predict the extent of any future losses 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when we will become profitable, if at all. Even if we become profitable, we may not be able to sustain or increase our profitability on a quarterly or annual basis.</w:t>
      </w:r>
    </w:p>
    <w:p>
      <w:pPr>
        <w:spacing w:after="0" w:line="141" w:lineRule="exact"/>
        <w:rPr>
          <w:sz w:val="20"/>
          <w:szCs w:val="20"/>
          <w:color w:val="auto"/>
        </w:rPr>
      </w:pPr>
    </w:p>
    <w:p>
      <w:pPr>
        <w:ind w:right="340" w:firstLine="627"/>
        <w:spacing w:after="0" w:line="277" w:lineRule="auto"/>
        <w:rPr>
          <w:sz w:val="20"/>
          <w:szCs w:val="20"/>
          <w:color w:val="auto"/>
        </w:rPr>
      </w:pPr>
      <w:r>
        <w:rPr>
          <w:rFonts w:ascii="Arial" w:cs="Arial" w:eastAsia="Arial" w:hAnsi="Arial"/>
          <w:sz w:val="17"/>
          <w:szCs w:val="17"/>
          <w:color w:val="auto"/>
        </w:rPr>
        <w:t>The amount of our future losses is uncertain, and our quarterly operating results may fluctuate significantly or may fall below the expectations of investors or securities analysts, each of which may cause our stock price to fluctuate or decline. Our operating losses may fluctuate significantly from quarter to quarter and from year to year. We anticipate that our expenses will increase substantially if, and as, we:</w:t>
      </w:r>
    </w:p>
    <w:p>
      <w:pPr>
        <w:spacing w:after="0" w:line="54" w:lineRule="exact"/>
        <w:rPr>
          <w:sz w:val="20"/>
          <w:szCs w:val="20"/>
          <w:color w:val="auto"/>
        </w:rPr>
      </w:pPr>
    </w:p>
    <w:p>
      <w:pPr>
        <w:ind w:left="640" w:right="260" w:hanging="166"/>
        <w:spacing w:after="0" w:line="298"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to advance clinical development of our current and future product candidates, including conducting our ongoing and planned clinical trials;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to advance our research and preclinical activities and seek to discover and develop additional product candidates;</w:t>
      </w:r>
    </w:p>
    <w:p>
      <w:pPr>
        <w:spacing w:after="0" w:line="117" w:lineRule="exact"/>
        <w:rPr>
          <w:rFonts w:ascii="Arial" w:cs="Arial" w:eastAsia="Arial" w:hAnsi="Arial"/>
          <w:sz w:val="17"/>
          <w:szCs w:val="17"/>
          <w:color w:val="auto"/>
        </w:rPr>
      </w:pPr>
    </w:p>
    <w:p>
      <w:pPr>
        <w:ind w:left="640" w:right="740" w:hanging="166"/>
        <w:spacing w:after="0" w:line="298"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to utilize third parties to manufacture our product candidates and ensure sufficient supply of our manufacturing of drug substances and drug products;</w:t>
      </w:r>
    </w:p>
    <w:p>
      <w:pPr>
        <w:spacing w:after="0" w:line="36" w:lineRule="exact"/>
        <w:rPr>
          <w:rFonts w:ascii="Arial" w:cs="Arial" w:eastAsia="Arial" w:hAnsi="Arial"/>
          <w:sz w:val="17"/>
          <w:szCs w:val="17"/>
          <w:color w:val="auto"/>
        </w:rPr>
      </w:pPr>
    </w:p>
    <w:p>
      <w:pPr>
        <w:ind w:left="640" w:right="440" w:hanging="166"/>
        <w:spacing w:after="0" w:line="298"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attract, hire and retain additional qualified personnel;</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seek regulatory approvals for any current or future product candidates that successfully complete clinical trials;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make any potential milestones, royalties or other payments due under any current or future in-license, collaboration or other agreements;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undertake any pre-commercial activities and scale up external commercial-scale manufacturing capabilities;</w:t>
      </w:r>
    </w:p>
    <w:p>
      <w:pPr>
        <w:spacing w:after="0" w:line="117" w:lineRule="exact"/>
        <w:rPr>
          <w:rFonts w:ascii="Arial" w:cs="Arial" w:eastAsia="Arial" w:hAnsi="Arial"/>
          <w:sz w:val="17"/>
          <w:szCs w:val="17"/>
          <w:color w:val="auto"/>
        </w:rPr>
      </w:pPr>
    </w:p>
    <w:p>
      <w:pPr>
        <w:ind w:left="640" w:right="180" w:hanging="166"/>
        <w:spacing w:after="0" w:line="298"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ultimately establish a sales, marketing and distribution infrastructure to commercialize any product candidates for which we may obtain regulatory approval;</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add additional operational, financial, clinical, quality and management information systems;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incur additional audit, legal, regulatory, tax and other expenses with being a public company.</w:t>
      </w:r>
    </w:p>
    <w:p>
      <w:pPr>
        <w:spacing w:after="0" w:line="222" w:lineRule="exact"/>
        <w:rPr>
          <w:sz w:val="20"/>
          <w:szCs w:val="20"/>
          <w:color w:val="auto"/>
        </w:rPr>
      </w:pPr>
    </w:p>
    <w:p>
      <w:pPr>
        <w:ind w:right="120" w:firstLine="627"/>
        <w:spacing w:after="0" w:line="298" w:lineRule="auto"/>
        <w:rPr>
          <w:sz w:val="20"/>
          <w:szCs w:val="20"/>
          <w:color w:val="auto"/>
        </w:rPr>
      </w:pPr>
      <w:r>
        <w:rPr>
          <w:rFonts w:ascii="Arial" w:cs="Arial" w:eastAsia="Arial" w:hAnsi="Arial"/>
          <w:sz w:val="17"/>
          <w:szCs w:val="17"/>
          <w:color w:val="auto"/>
        </w:rPr>
        <w:t>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41" w:lineRule="exact"/>
        <w:rPr>
          <w:sz w:val="20"/>
          <w:szCs w:val="20"/>
          <w:color w:val="auto"/>
        </w:rPr>
      </w:pPr>
    </w:p>
    <w:p>
      <w:pPr>
        <w:jc w:val="both"/>
        <w:ind w:right="20" w:firstLine="627"/>
        <w:spacing w:after="0" w:line="277" w:lineRule="auto"/>
        <w:rPr>
          <w:sz w:val="20"/>
          <w:szCs w:val="20"/>
          <w:color w:val="auto"/>
        </w:rPr>
      </w:pPr>
      <w:r>
        <w:rPr>
          <w:rFonts w:ascii="Arial" w:cs="Arial" w:eastAsia="Arial" w:hAnsi="Arial"/>
          <w:sz w:val="17"/>
          <w:szCs w:val="17"/>
          <w:color w:val="auto"/>
        </w:rPr>
        <w:t>Given the numerous risks and uncertainties associated with pharmaceutical product development, it is not certain if any of our current or future product candidates will advance through late-stage development or be approved for commercial sale; therefore, we are unable to predict if or when we will generate product revenue or achieve or maintain profitability.</w:t>
      </w:r>
    </w:p>
    <w:p>
      <w:pPr>
        <w:spacing w:after="0" w:line="159"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Even if we successfully complete development and obtain the necessary regulatory approval for commercialization for any of our product candidates, we anticipate incurring significant costs associated with launching and commercializing such products. If we fail to become profitable or do not sustain profitability on a continuing basis, we may be unable to continue our operations at planned levels and be forced to reduce or cease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i w:val="1"/>
          <w:iCs w:val="1"/>
          <w:color w:val="auto"/>
        </w:rPr>
        <w:t>We will need substantial additional funding to develop and, if approved, commercialize our product candidates and identify and invest in new product candidates. We may be unable to raise capital on acceptable terms, if at all, and, as a result, we may be required to delay, reduce or eliminate our product development programs or commercialization efforts.</w:t>
      </w:r>
    </w:p>
    <w:p>
      <w:pPr>
        <w:spacing w:after="0" w:line="42"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approvals and achieve product sales. We expect to continue to incur significant and increasing expenses and operating losses for the foreseeable future as we initiate and conduct clinical trials of our current and any future product candidates, scale-up and manufacture our product candidates, advance our preclinical programs, seek marketing and regulatory approvals for any product candidates that successfully complete clinical trials and commercialize our products, if approved. Because the outcome of any clinical trial or preclinical study is highly uncertain, we cannot reliably estimate the actual amount of financing necessary to successfully complete the development and commercialization of any of our product candidates.</w:t>
      </w:r>
    </w:p>
    <w:p>
      <w:pPr>
        <w:spacing w:after="0" w:line="173" w:lineRule="exact"/>
        <w:rPr>
          <w:sz w:val="20"/>
          <w:szCs w:val="20"/>
          <w:color w:val="auto"/>
        </w:rPr>
      </w:pPr>
    </w:p>
    <w:p>
      <w:pPr>
        <w:ind w:firstLine="627"/>
        <w:spacing w:after="0" w:line="263" w:lineRule="auto"/>
        <w:rPr>
          <w:sz w:val="20"/>
          <w:szCs w:val="20"/>
          <w:color w:val="auto"/>
        </w:rPr>
      </w:pPr>
      <w:r>
        <w:rPr>
          <w:rFonts w:ascii="Arial" w:cs="Arial" w:eastAsia="Arial" w:hAnsi="Arial"/>
          <w:sz w:val="17"/>
          <w:szCs w:val="17"/>
          <w:color w:val="auto"/>
        </w:rPr>
        <w:t>As of December 31, 2025, we had cash, cash equivalents and marketable securities of $310.3 million, including net proceeds of $199.6 million from our initial public offering in February 2025. We believe that, based upon our current operating plans, our existing cash, cash equivalents and marketable securities will be sufficient to fund our operations into 2028. This estimate is based on assumptions that may prove to be wrong, and we could use our available capital resources sooner than we expect. Changes may occur beyond our control that would cause us to consume our available capital before that time, including but not limited to changes in progress of our development activities, acquisitions of additional product candidates and changes in regulations. Our future capital requirements will depend on, and could increase significantly as a result of, many factors, including:</w:t>
      </w:r>
    </w:p>
    <w:p>
      <w:pPr>
        <w:spacing w:after="0" w:line="67" w:lineRule="exact"/>
        <w:rPr>
          <w:sz w:val="20"/>
          <w:szCs w:val="20"/>
          <w:color w:val="auto"/>
        </w:rPr>
      </w:pPr>
    </w:p>
    <w:p>
      <w:pPr>
        <w:ind w:left="640" w:right="100" w:hanging="166"/>
        <w:spacing w:after="0" w:line="298"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timing, progress, costs, complexity and results of discovery, preclinical development and clinical trials for our current or future product candidates, including any additional expenses attributable to adjusting our anticipated development plans;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of clinical trials required for regulatory approvals of our current or future product candidates;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extent to which we develop, in-license or acquire other product candidates in our pipeline;</w:t>
      </w:r>
    </w:p>
    <w:p>
      <w:pPr>
        <w:spacing w:after="0" w:line="117" w:lineRule="exact"/>
        <w:rPr>
          <w:rFonts w:ascii="Arial" w:cs="Arial" w:eastAsia="Arial" w:hAnsi="Arial"/>
          <w:sz w:val="17"/>
          <w:szCs w:val="17"/>
          <w:color w:val="auto"/>
        </w:rPr>
      </w:pPr>
    </w:p>
    <w:p>
      <w:pPr>
        <w:ind w:left="640" w:right="360" w:hanging="166"/>
        <w:spacing w:after="0" w:line="298"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and timing of process development and manufacturing scale-up activities associated with our product candidates and other programs as we advance them through preclinical and clinical development and, if approved, commercialization;</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and development requirements of product candidates that we may pursue;</w:t>
      </w:r>
    </w:p>
    <w:p>
      <w:pPr>
        <w:spacing w:after="0" w:line="117" w:lineRule="exact"/>
        <w:rPr>
          <w:rFonts w:ascii="Arial" w:cs="Arial" w:eastAsia="Arial" w:hAnsi="Arial"/>
          <w:sz w:val="17"/>
          <w:szCs w:val="17"/>
          <w:color w:val="auto"/>
        </w:rPr>
      </w:pPr>
    </w:p>
    <w:p>
      <w:pPr>
        <w:ind w:left="640" w:right="60" w:hanging="166"/>
        <w:spacing w:after="0" w:line="298"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and amount of the milestone, royalty or other payments we must make to Sanofi SA (“Sanofi”), the Cystic Fibrosis Foundation, AbbVie Global Enterprises Ltd. (“AbbVie”) and any other third parties;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17" w:lineRule="exact"/>
        <w:rPr>
          <w:rFonts w:ascii="Arial" w:cs="Arial" w:eastAsia="Arial" w:hAnsi="Arial"/>
          <w:sz w:val="17"/>
          <w:szCs w:val="17"/>
          <w:color w:val="auto"/>
        </w:rPr>
      </w:pPr>
    </w:p>
    <w:p>
      <w:pPr>
        <w:ind w:left="640" w:right="600" w:hanging="166"/>
        <w:spacing w:after="0" w:line="298"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capabilities and establish a commercial infrastructure;</w:t>
      </w:r>
    </w:p>
    <w:p>
      <w:pPr>
        <w:spacing w:after="0" w:line="36" w:lineRule="exact"/>
        <w:rPr>
          <w:rFonts w:ascii="Arial" w:cs="Arial" w:eastAsia="Arial" w:hAnsi="Arial"/>
          <w:sz w:val="17"/>
          <w:szCs w:val="17"/>
          <w:color w:val="auto"/>
        </w:rPr>
      </w:pPr>
    </w:p>
    <w:p>
      <w:pPr>
        <w:ind w:left="640" w:right="180" w:hanging="166"/>
        <w:spacing w:after="0" w:line="298"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36" w:lineRule="exact"/>
        <w:rPr>
          <w:rFonts w:ascii="Arial" w:cs="Arial" w:eastAsia="Arial" w:hAnsi="Arial"/>
          <w:sz w:val="17"/>
          <w:szCs w:val="17"/>
          <w:color w:val="auto"/>
        </w:rPr>
      </w:pPr>
    </w:p>
    <w:p>
      <w:pPr>
        <w:ind w:left="640" w:right="40" w:hanging="166"/>
        <w:spacing w:after="0" w:line="298"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36" w:lineRule="exact"/>
        <w:rPr>
          <w:rFonts w:ascii="Arial" w:cs="Arial" w:eastAsia="Arial" w:hAnsi="Arial"/>
          <w:sz w:val="17"/>
          <w:szCs w:val="17"/>
          <w:color w:val="auto"/>
        </w:rPr>
      </w:pPr>
    </w:p>
    <w:p>
      <w:pPr>
        <w:ind w:left="640" w:hanging="166"/>
        <w:spacing w:after="0" w:line="277"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achieve sufficient market acceptance, coverage and adequate reimbursement from third-party payors (or patients’ willingness to pay out-of-pocket for any approved products in the absence of such coverage) and adequate market share and revenue for any approved products;</w:t>
      </w:r>
    </w:p>
    <w:p>
      <w:pPr>
        <w:spacing w:after="0" w:line="54" w:lineRule="exact"/>
        <w:rPr>
          <w:rFonts w:ascii="Arial" w:cs="Arial" w:eastAsia="Arial" w:hAnsi="Arial"/>
          <w:sz w:val="17"/>
          <w:szCs w:val="17"/>
          <w:color w:val="auto"/>
        </w:rPr>
      </w:pPr>
    </w:p>
    <w:p>
      <w:pPr>
        <w:ind w:left="620" w:hanging="146"/>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any product candidates for which we receive marketing approval;</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effect of macroeconomic trends including fluctuating inflation levels, capital markets disruption, and interest rates;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20" w:hanging="146"/>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addressing any potential supply chain interruptions or delays, which may be due in part to international tariffs;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costs of operating as a public company.</w:t>
      </w:r>
    </w:p>
    <w:p>
      <w:pPr>
        <w:spacing w:after="0" w:line="222" w:lineRule="exact"/>
        <w:rPr>
          <w:sz w:val="20"/>
          <w:szCs w:val="20"/>
          <w:color w:val="auto"/>
        </w:rPr>
      </w:pPr>
    </w:p>
    <w:p>
      <w:pPr>
        <w:ind w:right="20" w:firstLine="627"/>
        <w:spacing w:after="0" w:line="260" w:lineRule="auto"/>
        <w:rPr>
          <w:sz w:val="20"/>
          <w:szCs w:val="20"/>
          <w:color w:val="auto"/>
        </w:rPr>
      </w:pPr>
      <w:r>
        <w:rPr>
          <w:rFonts w:ascii="Arial" w:cs="Arial" w:eastAsia="Arial" w:hAnsi="Arial"/>
          <w:sz w:val="17"/>
          <w:szCs w:val="17"/>
          <w:color w:val="auto"/>
        </w:rPr>
        <w:t>We will require additional capital to achieve our business objectives. Additional funds may not be available on a timely basis, on favorable terms or at all, and such funds, if raised, may not be sufficient to enable us to continue implementing our long-term business strategy. Further, our ability to raise additional capital may be adversely impacted by potentially worsening global economic conditions and the recent disruptions to and volatility in the credit and financial markets in the United States (“U.S.”) and worldwide resulting from factors that include but are not limited to, fluctuating inflation and capital markets disruptions, international tariffs, the Russia-Ukraine and Israel-Gaza conflicts, diminished liquidity and credit availability, declines in consumer confidence, declines in economic growth, increases in unemployment rates, uncertainty about economic stability and other factors. For example, the U.S. government has imposed substantial tariffs on most countries throughout the world and has further threatened to continue to broadly impose tariffs, which could lead to corresponding punitive actions by the countries with which the U.S. trades. If the equity and credit markets continue to deteriorate, it may make any necessary debt or equity financing more difficult to obtain, more costly and more dilutive. If we are unable to raise sufficient additional capital, we could be forced to curtail our planned operations and the pursuit of our growth strategy, or even cease operations.</w:t>
      </w:r>
    </w:p>
    <w:p>
      <w:pPr>
        <w:spacing w:after="0" w:line="281" w:lineRule="exact"/>
        <w:rPr>
          <w:sz w:val="20"/>
          <w:szCs w:val="20"/>
          <w:color w:val="auto"/>
        </w:rPr>
      </w:pPr>
    </w:p>
    <w:p>
      <w:pPr>
        <w:ind w:right="600"/>
        <w:spacing w:after="0" w:line="307"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product candidates.</w:t>
      </w:r>
    </w:p>
    <w:p>
      <w:pPr>
        <w:spacing w:after="0" w:line="22" w:lineRule="exact"/>
        <w:rPr>
          <w:sz w:val="20"/>
          <w:szCs w:val="20"/>
          <w:color w:val="auto"/>
        </w:rPr>
      </w:pPr>
    </w:p>
    <w:p>
      <w:pPr>
        <w:ind w:right="100" w:firstLine="627"/>
        <w:spacing w:after="0" w:line="263" w:lineRule="auto"/>
        <w:rPr>
          <w:sz w:val="20"/>
          <w:szCs w:val="20"/>
          <w:color w:val="auto"/>
        </w:rPr>
      </w:pPr>
      <w:r>
        <w:rPr>
          <w:rFonts w:ascii="Arial" w:cs="Arial" w:eastAsia="Arial" w:hAnsi="Arial"/>
          <w:sz w:val="17"/>
          <w:szCs w:val="17"/>
          <w:color w:val="auto"/>
        </w:rPr>
        <w:t>Until such time, if ever, as we can generate substantial revenues from product sales, we expect to finance our cash needs through a combination of equity offerings, debt financings or other capital sources, such as grants, collaborations, licenses or other similar arrangements. We do not currently have any committed external source of funds. To the extent that we raise additional capital through the sale of equity or convertible debt securities, our stockholders' ownership interest may be diluted, and the terms of these securities may include liquidation or other preferences that adversely affect our stockholders' rights as a common stockholder. Debt financing and preferred equity financing may involve agreements that include covenants limiting or restricting our ability to take specific actions, such as incurring additional debt or making capital expenditures. Such restrictions could adversely impact our ability to conduct our operations and execute our business plan.</w:t>
      </w:r>
    </w:p>
    <w:p>
      <w:pPr>
        <w:spacing w:after="0" w:line="171"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If we raise additional funds through grants, collaborations, licenses or other similar arrangements with third parties, we may be required to relinquish valuable rights to our future revenue streams, intellectual property or product candidates, grant licenses on terms that may not be favorable to us and/or that may reduce the value of our common stock or commit us to future payment streams. If we are unable to raise additional funds through equity or debt financings when needed or on terms acceptable to us, we may be required to delay, limit, reduce or terminate our product development or future commercialization efforts or grant rights to develop and market product candidates that we would otherwise prefer to develop and market ourselves, or on less favorable terms than we would otherwise choose.</w:t>
      </w:r>
    </w:p>
    <w:p>
      <w:pPr>
        <w:spacing w:after="0" w:line="172" w:lineRule="exact"/>
        <w:rPr>
          <w:sz w:val="20"/>
          <w:szCs w:val="20"/>
          <w:color w:val="auto"/>
        </w:rPr>
      </w:pPr>
    </w:p>
    <w:p>
      <w:pPr>
        <w:ind w:right="20" w:firstLine="627"/>
        <w:spacing w:after="0" w:line="263" w:lineRule="auto"/>
        <w:rPr>
          <w:sz w:val="20"/>
          <w:szCs w:val="20"/>
          <w:color w:val="auto"/>
        </w:rPr>
      </w:pPr>
      <w:r>
        <w:rPr>
          <w:rFonts w:ascii="Arial" w:cs="Arial" w:eastAsia="Arial" w:hAnsi="Arial"/>
          <w:sz w:val="17"/>
          <w:szCs w:val="17"/>
          <w:color w:val="auto"/>
        </w:rPr>
        <w:t>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Discovery and Development of Our Product Candidates</w:t>
      </w:r>
    </w:p>
    <w:p>
      <w:pPr>
        <w:spacing w:after="0" w:line="12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We are substantially dependent on the success of at least one of our nucleotide binding domain 1 ("NBD1") stabilizers. If we are unable to advance an NBD1 stabilizer product candidate into later-stage clinical development or unable to obtain regulatory approval and commercialize an NBD1 stabilizer-anchored combination therapy for the treatment of cystic fibrosis, or experience significant delays in doing so, our business will be materially harmed.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 w:firstLine="627"/>
        <w:spacing w:after="0" w:line="264" w:lineRule="auto"/>
        <w:rPr>
          <w:sz w:val="20"/>
          <w:szCs w:val="20"/>
          <w:color w:val="auto"/>
        </w:rPr>
      </w:pPr>
      <w:r>
        <w:rPr>
          <w:rFonts w:ascii="Arial" w:cs="Arial" w:eastAsia="Arial" w:hAnsi="Arial"/>
          <w:sz w:val="17"/>
          <w:szCs w:val="17"/>
          <w:color w:val="auto"/>
        </w:rPr>
        <w:t>To date, as an organization, we have not completed the development of any product candidates. We are substantially dependent on the success of at least one of our NBD1 stabilizer product candidates, SION-719 and SION-451, which are currently in development for the treatment of cystic fibrosis ("CF"). Our NBD1 stabilizers are being developed for use either in combination with one of our complementary modulator candidates or the standard of care. We are currently evaluating SION-719 in a Phase 2a proof-of-concept clinical trial as an add-on to the standard of care for CF and SION-451 in a Phase 1 dual combination trial with each of our two most advanced complementary modulator candidates, galicaftor (SION-2222) and SION-109.</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success of SION-719, SION-451 and our other product candidates will depend on several factors, including the following:</w:t>
      </w:r>
    </w:p>
    <w:p>
      <w:pPr>
        <w:spacing w:after="0" w:line="118" w:lineRule="exact"/>
        <w:rPr>
          <w:sz w:val="20"/>
          <w:szCs w:val="20"/>
          <w:color w:val="auto"/>
        </w:rPr>
      </w:pPr>
    </w:p>
    <w:p>
      <w:pPr>
        <w:ind w:left="620" w:hanging="146"/>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successful and timely initiation and enrollment of clinical trials and completion of clinical trials with favorable results;</w:t>
      </w:r>
    </w:p>
    <w:p>
      <w:pPr>
        <w:spacing w:after="0" w:line="117" w:lineRule="exact"/>
        <w:rPr>
          <w:rFonts w:ascii="Arial" w:cs="Arial" w:eastAsia="Arial" w:hAnsi="Arial"/>
          <w:sz w:val="17"/>
          <w:szCs w:val="17"/>
          <w:color w:val="auto"/>
        </w:rPr>
      </w:pPr>
    </w:p>
    <w:p>
      <w:pPr>
        <w:ind w:left="640" w:right="260" w:hanging="166"/>
        <w:spacing w:after="0" w:line="29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safety, tolerability and pharmacokinetic profile of our product candidates observed in clinical trials, including in combination with the standard of care;</w:t>
      </w:r>
    </w:p>
    <w:p>
      <w:pPr>
        <w:spacing w:after="0" w:line="36" w:lineRule="exact"/>
        <w:rPr>
          <w:rFonts w:ascii="Arial" w:cs="Arial" w:eastAsia="Arial" w:hAnsi="Arial"/>
          <w:sz w:val="17"/>
          <w:szCs w:val="17"/>
          <w:color w:val="auto"/>
        </w:rPr>
      </w:pPr>
    </w:p>
    <w:p>
      <w:pPr>
        <w:ind w:left="640" w:hanging="166"/>
        <w:spacing w:after="0" w:line="29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acceptance of regulatory submissions by the U.S. Food and Drug Administration (“FDA”) and/ or comparable foreign regulatory authorities for the conduct of clinical trials of our product candidates, and the proposed design of our planned clinical trials;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frequency and severity of adverse safety findings in nonclinical studies and adverse events (“AEs”) in clinical trials;</w:t>
      </w:r>
    </w:p>
    <w:p>
      <w:pPr>
        <w:spacing w:after="0" w:line="117" w:lineRule="exact"/>
        <w:rPr>
          <w:rFonts w:ascii="Arial" w:cs="Arial" w:eastAsia="Arial" w:hAnsi="Arial"/>
          <w:sz w:val="17"/>
          <w:szCs w:val="17"/>
          <w:color w:val="auto"/>
        </w:rPr>
      </w:pPr>
    </w:p>
    <w:p>
      <w:pPr>
        <w:ind w:left="640" w:right="360" w:hanging="166"/>
        <w:spacing w:after="0" w:line="29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timely and successful completion of preclinical studies, including toxicology studies, biodistribution studies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dose projection studies in animals, where applicable;</w:t>
      </w:r>
    </w:p>
    <w:p>
      <w:pPr>
        <w:spacing w:after="0" w:line="36" w:lineRule="exact"/>
        <w:rPr>
          <w:rFonts w:ascii="Arial" w:cs="Arial" w:eastAsia="Arial" w:hAnsi="Arial"/>
          <w:sz w:val="17"/>
          <w:szCs w:val="17"/>
          <w:color w:val="auto"/>
        </w:rPr>
      </w:pPr>
    </w:p>
    <w:p>
      <w:pPr>
        <w:ind w:left="640" w:right="60" w:hanging="166"/>
        <w:spacing w:after="0" w:line="29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acceptance of our products, if approved, by CF patients, the medical community and third-party payors, and their perspective on the cost, safety, tolerability and efficacy and perceived advantages of alternative therapies for CF, including the standard of care;</w:t>
      </w:r>
    </w:p>
    <w:p>
      <w:pPr>
        <w:spacing w:after="0" w:line="36" w:lineRule="exact"/>
        <w:rPr>
          <w:rFonts w:ascii="Arial" w:cs="Arial" w:eastAsia="Arial" w:hAnsi="Arial"/>
          <w:sz w:val="17"/>
          <w:szCs w:val="17"/>
          <w:color w:val="auto"/>
        </w:rPr>
      </w:pPr>
    </w:p>
    <w:p>
      <w:pPr>
        <w:ind w:left="640" w:right="420" w:hanging="166"/>
        <w:spacing w:after="0" w:line="277"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maintaining relationships with contract research organizations (“CROs”) and clinical sites for the clinical development of our product candidates and the ability of such CROs and clinical sites to comply with clinical trial protocols, Good Clinical Practices (“GCPs”) and other applicable requirements;</w:t>
      </w:r>
    </w:p>
    <w:p>
      <w:pPr>
        <w:spacing w:after="0" w:line="54" w:lineRule="exact"/>
        <w:rPr>
          <w:rFonts w:ascii="Arial" w:cs="Arial" w:eastAsia="Arial" w:hAnsi="Arial"/>
          <w:sz w:val="17"/>
          <w:szCs w:val="17"/>
          <w:color w:val="auto"/>
        </w:rPr>
      </w:pPr>
    </w:p>
    <w:p>
      <w:pPr>
        <w:ind w:left="620" w:hanging="146"/>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demonstrating the safety and efficacy of our product candidates to the satisfaction of applicable regulatory authorities;</w:t>
      </w:r>
    </w:p>
    <w:p>
      <w:pPr>
        <w:spacing w:after="0" w:line="117" w:lineRule="exact"/>
        <w:rPr>
          <w:rFonts w:ascii="Arial" w:cs="Arial" w:eastAsia="Arial" w:hAnsi="Arial"/>
          <w:sz w:val="17"/>
          <w:szCs w:val="17"/>
          <w:color w:val="auto"/>
        </w:rPr>
      </w:pPr>
    </w:p>
    <w:p>
      <w:pPr>
        <w:ind w:left="640" w:right="40" w:hanging="166"/>
        <w:spacing w:after="0" w:line="29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receipt and maintenance of marketing approvals from applicable regulatory authorities for our initial target indication and label expansions to include new populations;</w:t>
      </w:r>
    </w:p>
    <w:p>
      <w:pPr>
        <w:spacing w:after="0" w:line="36" w:lineRule="exact"/>
        <w:rPr>
          <w:rFonts w:ascii="Arial" w:cs="Arial" w:eastAsia="Arial" w:hAnsi="Arial"/>
          <w:sz w:val="17"/>
          <w:szCs w:val="17"/>
          <w:color w:val="auto"/>
        </w:rPr>
      </w:pPr>
    </w:p>
    <w:p>
      <w:pPr>
        <w:ind w:left="640" w:right="20" w:hanging="166"/>
        <w:spacing w:after="0" w:line="277"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establish and maintain relationships with third-party manufacturers and their ability to comply with current good manufacturing practices (“cGMPs”), as well as our ability to make arrangements with third-party manufacturers to ensure adequate supply for our clinical trials and commercial manufacturing capabilities at a cost and scale sufficient to support commercialization;</w:t>
      </w:r>
    </w:p>
    <w:p>
      <w:pPr>
        <w:spacing w:after="0" w:line="54" w:lineRule="exact"/>
        <w:rPr>
          <w:rFonts w:ascii="Arial" w:cs="Arial" w:eastAsia="Arial" w:hAnsi="Arial"/>
          <w:sz w:val="17"/>
          <w:szCs w:val="17"/>
          <w:color w:val="auto"/>
        </w:rPr>
      </w:pPr>
    </w:p>
    <w:p>
      <w:pPr>
        <w:ind w:left="620" w:hanging="146"/>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availability of drug substance and drug product for use in production of our product candidates;</w:t>
      </w:r>
    </w:p>
    <w:p>
      <w:pPr>
        <w:spacing w:after="0" w:line="222" w:lineRule="exact"/>
        <w:rPr>
          <w:rFonts w:ascii="Arial" w:cs="Arial" w:eastAsia="Arial" w:hAnsi="Arial"/>
          <w:sz w:val="17"/>
          <w:szCs w:val="17"/>
          <w:color w:val="auto"/>
        </w:rPr>
      </w:pPr>
    </w:p>
    <w:p>
      <w:pPr>
        <w:ind w:left="640" w:right="720" w:hanging="166"/>
        <w:spacing w:after="0" w:line="29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establishing sales, marketing and distribution capabilities and launching commercial sales of our product candidates, if and when approved, whether alone or in collaboration with others;</w:t>
      </w:r>
    </w:p>
    <w:p>
      <w:pPr>
        <w:spacing w:after="0" w:line="36" w:lineRule="exact"/>
        <w:rPr>
          <w:rFonts w:ascii="Arial" w:cs="Arial" w:eastAsia="Arial" w:hAnsi="Arial"/>
          <w:sz w:val="17"/>
          <w:szCs w:val="17"/>
          <w:color w:val="auto"/>
        </w:rPr>
      </w:pPr>
    </w:p>
    <w:p>
      <w:pPr>
        <w:ind w:left="640" w:right="80" w:hanging="166"/>
        <w:spacing w:after="0" w:line="29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obtaining, establishing, maintaining and enforcing patent and any potential trade secret protection or regulatory exclusivity for our product candidates;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maintaining an acceptable safety profile of our product candidates following regulatory approvals, if any;</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sufficiency of our financial resources to fund our operations and our ability to raise necessary additional funds;</w:t>
      </w:r>
    </w:p>
    <w:p>
      <w:pPr>
        <w:spacing w:after="0" w:line="117" w:lineRule="exact"/>
        <w:rPr>
          <w:rFonts w:ascii="Arial" w:cs="Arial" w:eastAsia="Arial" w:hAnsi="Arial"/>
          <w:sz w:val="17"/>
          <w:szCs w:val="17"/>
          <w:color w:val="auto"/>
        </w:rPr>
      </w:pPr>
    </w:p>
    <w:p>
      <w:pPr>
        <w:ind w:left="640" w:right="180" w:hanging="166"/>
        <w:spacing w:after="0" w:line="29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impact of competition with other products approved for the treatment of CF and product candidates in development for the treatment of CF; and</w:t>
      </w:r>
    </w:p>
    <w:p>
      <w:pPr>
        <w:spacing w:after="0" w:line="141" w:lineRule="exact"/>
        <w:rPr>
          <w:rFonts w:ascii="Arial" w:cs="Arial" w:eastAsia="Arial" w:hAnsi="Arial"/>
          <w:sz w:val="17"/>
          <w:szCs w:val="17"/>
          <w:color w:val="auto"/>
        </w:rPr>
      </w:pPr>
    </w:p>
    <w:p>
      <w:pPr>
        <w:ind w:left="640" w:hanging="166"/>
        <w:spacing w:after="0" w:line="29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maintaining and growing an organization of people who can develop and, if approved, commercialize, market and sell our current or future product candidates.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20" w:firstLine="627"/>
        <w:spacing w:after="0" w:line="298" w:lineRule="auto"/>
        <w:rPr>
          <w:sz w:val="20"/>
          <w:szCs w:val="20"/>
          <w:color w:val="auto"/>
        </w:rPr>
      </w:pPr>
      <w:r>
        <w:rPr>
          <w:rFonts w:ascii="Arial" w:cs="Arial" w:eastAsia="Arial" w:hAnsi="Arial"/>
          <w:sz w:val="17"/>
          <w:szCs w:val="17"/>
          <w:color w:val="auto"/>
        </w:rPr>
        <w:t>If we are unable to develop, receive marketing approval for and successfully commercialize our product candidates, or if we experience delays as a result of any of the above factors or otherwise, our business would be significantly harmed.</w:t>
      </w:r>
    </w:p>
    <w:p>
      <w:pPr>
        <w:spacing w:after="0" w:line="24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are early in our development efforts. If we are unable to successfully develop, receive regulatory approval for and commercialize any product candidate, or experience significant delays in doing so, our business will be substantially harmed.</w:t>
      </w:r>
    </w:p>
    <w:p>
      <w:pPr>
        <w:spacing w:after="0" w:line="7" w:lineRule="exact"/>
        <w:rPr>
          <w:sz w:val="20"/>
          <w:szCs w:val="20"/>
          <w:color w:val="auto"/>
        </w:rPr>
      </w:pPr>
    </w:p>
    <w:p>
      <w:pPr>
        <w:ind w:right="40" w:firstLine="627"/>
        <w:spacing w:after="0" w:line="248" w:lineRule="auto"/>
        <w:rPr>
          <w:sz w:val="20"/>
          <w:szCs w:val="20"/>
          <w:color w:val="auto"/>
        </w:rPr>
      </w:pPr>
      <w:r>
        <w:rPr>
          <w:rFonts w:ascii="Arial" w:cs="Arial" w:eastAsia="Arial" w:hAnsi="Arial"/>
          <w:sz w:val="17"/>
          <w:szCs w:val="17"/>
          <w:color w:val="auto"/>
        </w:rPr>
        <w:t>We are early in our development efforts. Each of our product candidates will require additional preclinical and/or clinical development and regulatory approval, and will require us to obtain sufficient manufacturing supply, capacity and expertise. We have not completed any clinical trials of our product candidates in any CF patients to date. Further, we will be required to build a commercial organization or successfully outsource commercialization, and make substantial investment and significant marketing efforts before we generate any revenue from product sales, if ever. Given our early stage of development, it will take several years before we can demonstrate the safety and efficacy of a product candidate sufficient to warrant approval for commercialization, if we can do so at all.</w:t>
      </w:r>
    </w:p>
    <w:p>
      <w:pPr>
        <w:spacing w:after="0" w:line="211"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We do not have complete control over many of the factors that affect our development efforts,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our product candidates or any future product candidate we develop or if we experience delays in such approvals, we may not be able to continue our operations.</w:t>
      </w:r>
    </w:p>
    <w:p>
      <w:pPr>
        <w:spacing w:after="0" w:line="172" w:lineRule="exact"/>
        <w:rPr>
          <w:sz w:val="20"/>
          <w:szCs w:val="20"/>
          <w:color w:val="auto"/>
        </w:rPr>
      </w:pPr>
    </w:p>
    <w:p>
      <w:pPr>
        <w:ind w:right="160" w:firstLine="627"/>
        <w:spacing w:after="0" w:line="266" w:lineRule="auto"/>
        <w:rPr>
          <w:sz w:val="20"/>
          <w:szCs w:val="20"/>
          <w:color w:val="auto"/>
        </w:rPr>
      </w:pPr>
      <w:r>
        <w:rPr>
          <w:rFonts w:ascii="Arial" w:cs="Arial" w:eastAsia="Arial" w:hAnsi="Arial"/>
          <w:sz w:val="17"/>
          <w:szCs w:val="17"/>
          <w:color w:val="auto"/>
        </w:rPr>
        <w:t>Further, conducting clinical trials in foreign countries, as we are currently doing and plan to do in the future for our current or future product candidates, presents additional risks that may delay completion of our clinical trials. These risks include the failure of enrolled patients in foreign countries to adhere to clinical protocol as a result of differences in healthcare services or cultural customs, failure to properly translate or interpret patient-reported outcome endpoints, managing additional administrative burdens associated with foreign regulatory schemes as well as political and economic risks relevant to such foreign countries.</w:t>
      </w:r>
    </w:p>
    <w:p>
      <w:pPr>
        <w:spacing w:after="0" w:line="170" w:lineRule="exact"/>
        <w:rPr>
          <w:sz w:val="20"/>
          <w:szCs w:val="20"/>
          <w:color w:val="auto"/>
        </w:rPr>
      </w:pPr>
    </w:p>
    <w:p>
      <w:pPr>
        <w:ind w:right="540" w:firstLine="627"/>
        <w:spacing w:after="0" w:line="277" w:lineRule="auto"/>
        <w:rPr>
          <w:sz w:val="20"/>
          <w:szCs w:val="20"/>
          <w:color w:val="auto"/>
        </w:rPr>
      </w:pPr>
      <w:r>
        <w:rPr>
          <w:rFonts w:ascii="Arial" w:cs="Arial" w:eastAsia="Arial" w:hAnsi="Arial"/>
          <w:sz w:val="17"/>
          <w:szCs w:val="17"/>
          <w:color w:val="auto"/>
        </w:rPr>
        <w:t>The foregoing makes our ability to successfully and timely complete development of our product candidates and obtain regulatory approval for them less certain. If we are unable to develop, or obtain marketing approval for, or, if approved, successfully commercialize our product candidates, our business, financial condition, results of operations and prospects would be materially harmed.</w:t>
      </w:r>
    </w:p>
    <w:p>
      <w:pPr>
        <w:spacing w:after="0" w:line="26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i w:val="1"/>
          <w:iCs w:val="1"/>
          <w:color w:val="auto"/>
        </w:rPr>
        <w:t>We intend to develop a proprietary dual combination of an NBD1 stabilizer with a complementary modulator and/or an NBD1 stabilizer as an add-on to the standard of care. Developing combination treatments increases complexity and risk, including risks of drug-drug interactions, unforeseen side effects or failures in our clinical trials that could delay or prevent their regulatory approval or limit the commercial profile of an approved label.</w:t>
      </w:r>
    </w:p>
    <w:p>
      <w:pPr>
        <w:spacing w:after="0" w:line="50" w:lineRule="exact"/>
        <w:rPr>
          <w:sz w:val="20"/>
          <w:szCs w:val="20"/>
          <w:color w:val="auto"/>
        </w:rPr>
      </w:pPr>
    </w:p>
    <w:p>
      <w:pPr>
        <w:ind w:right="260" w:firstLine="627"/>
        <w:spacing w:after="0" w:line="263" w:lineRule="auto"/>
        <w:rPr>
          <w:sz w:val="20"/>
          <w:szCs w:val="20"/>
          <w:color w:val="auto"/>
        </w:rPr>
      </w:pPr>
      <w:r>
        <w:rPr>
          <w:rFonts w:ascii="Arial" w:cs="Arial" w:eastAsia="Arial" w:hAnsi="Arial"/>
          <w:sz w:val="17"/>
          <w:szCs w:val="17"/>
          <w:color w:val="auto"/>
        </w:rPr>
        <w:t>The current treatment paradigm in CF for all patients with the F508del mutation is based on a combination of drug therapies. We are currently evaluating SION-719 in combination with the standard of care in a Phase 2a proof-of-concept trial in CF patients, which we initiated in October 2025. We are also currently evaluating SION-451 in dual combinations with our two most advanced complementary modulator candidates, SION-2222 and SION-109 in a Phase 1 trial in healthy volunteers. The development of a proprietary dual combination is our prioritized development path. In either development scenario, the use of our product candidates in combination with each other or with an approved product may subject us to risks that we would not face if our product candidates were being developed to be administered as a monotherapy.</w:t>
      </w:r>
    </w:p>
    <w:p>
      <w:pPr>
        <w:spacing w:after="0" w:line="171"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For example, either the combination of our product candidates with each other, or an NBD1 stabilizer with the standard of care, may result in adverse side effects or toxicities that the product candidates or other therapy do not produce when used alone. In addition, the product candidates may interact with each other, or with the approved product, in undesirable ways that could negatively impact the efficacy of our product candidates, any components of the approved product, or the combination as a whole. Testing product candidates in combination with each other and with an approved therapy may increase the risk of significant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40"/>
        <w:spacing w:after="0" w:line="298" w:lineRule="auto"/>
        <w:rPr>
          <w:sz w:val="20"/>
          <w:szCs w:val="20"/>
          <w:color w:val="auto"/>
        </w:rPr>
      </w:pPr>
      <w:r>
        <w:rPr>
          <w:rFonts w:ascii="Arial" w:cs="Arial" w:eastAsia="Arial" w:hAnsi="Arial"/>
          <w:sz w:val="17"/>
          <w:szCs w:val="17"/>
          <w:color w:val="auto"/>
        </w:rPr>
        <w:t>adverse effects or failed clinical trials. The timing, outcome and cost of developing products to be used in combination with other therapies is difficult to predict and dependent on a number of factors that are outside our reasonable control.</w:t>
      </w:r>
    </w:p>
    <w:p>
      <w:pPr>
        <w:spacing w:after="0" w:line="141"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In addition, to the extent we choose to develop and commercialize a product candidate for use in combination with an approved therapy, any safety, efficacy, regulatory, manufacturing or supply issues that could arise with respect to the approved therapy could have an adverse impact on us. Prescribing information for the approved therapy, such as risk information like a boxed warning, or limitations of use, could negatively impact our ability to develop and commercialize a product as an add-on to the approved therapy. If the approved therapy is replaced as the standard of care, the FDA or comparable foreign regulatory authorities may require us to conduct additional clinical trials, the outcome of which would be uncertain and may not be predicted by earlier trials, or we may not be able to obtain adequate reimbursement from third-party payors. Further, the FDA or comparable foreign regulatory authorities could revoke approval of a therapy we evaluate in combination with our product candidate.</w:t>
      </w:r>
    </w:p>
    <w:p>
      <w:pPr>
        <w:spacing w:after="0" w:line="386"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The occurrence of any of these risks could result in an add-on product candidate, if developed and approved, being removed from the market or being less successful commercially. If the FDA or comparable foreign regulatory authorities revoke their approval of, or if safety, efficacy, manufacturing, or supply issues arise with respect to, therapies we choose to evaluate in combination with any of our product candidates, we may be unable to obtain regulatory approval of or to commercialize such product candidates in combination with these therapies. If we experience safety, tolerability or toxicity issues in any of our ongoing or planned combination treatment clinical trials, or the data from these trials regarding the efficacy of the combinations are not favorable, our clinical development plans could be materially negatively affected or delayed, or we may not receive regulatory approval for our product candidates, which would materially harm our business and likely cause the market price of our common stock to decline.</w:t>
      </w:r>
    </w:p>
    <w:p>
      <w:pPr>
        <w:spacing w:after="0" w:line="277"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authorities are lengthy, time-consuming and inherently unpredictable. If we are not able to obtain the required regulatory approval for any product candidate, our business will be substantially harmed.</w:t>
      </w:r>
    </w:p>
    <w:p>
      <w:pPr>
        <w:spacing w:after="0" w:line="4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We are not permitted to market, commercialize, sell or promote any product candidate in the U.S. until we receive regulatory approval of a new drug application (“NDA”) for such product candidate in a specific indication from the FDA. Our business is dependent on our ability to successfully complete preclinical and clinical development of, obtain regulatory approval for, and, if approved, successfully commercialize our product candidates and any future product candidates in a timely manner.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in the future.</w:t>
      </w:r>
    </w:p>
    <w:p>
      <w:pPr>
        <w:spacing w:after="0" w:line="175" w:lineRule="exact"/>
        <w:rPr>
          <w:sz w:val="20"/>
          <w:szCs w:val="20"/>
          <w:color w:val="auto"/>
        </w:rPr>
      </w:pPr>
    </w:p>
    <w:p>
      <w:pPr>
        <w:ind w:right="20" w:firstLine="627"/>
        <w:spacing w:after="0" w:line="260" w:lineRule="auto"/>
        <w:rPr>
          <w:sz w:val="20"/>
          <w:szCs w:val="20"/>
          <w:color w:val="auto"/>
        </w:rPr>
      </w:pPr>
      <w:r>
        <w:rPr>
          <w:rFonts w:ascii="Arial" w:cs="Arial" w:eastAsia="Arial" w:hAnsi="Arial"/>
          <w:sz w:val="17"/>
          <w:szCs w:val="17"/>
          <w:color w:val="auto"/>
        </w:rPr>
        <w:t>Prior to obtaining approval to commercialize any product candidate in the U.S. or abroad, we must demonstrate with substantial evidence from well-controlled clinical trials, to the satisfaction of the FDA or comparable foreign regulatory authorities, that such product candidate is safe and effective for its intended use.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 For example, to receive regulatory approval for an NBD1 stabilizer as an add-on to standard of care, we would have to demonstrate clinically meaningful improvements in efficacy with the NBD1 stabilizer co-administered with the standard of care, as compared to the standard of care alone. It may be harder to show a clinically meaningful improvement in efficacy in a clinical trial where all participants are receiving the standard of care. Furthermore, because we intend to develop an NBD1 stabilizer product candidate in combination with one of our complementary modulator product candidates, we will have to satisfy the regulatory agencies’ requirements to demonstrate the contribution of each component in the combination. As neither product candidate in this potential combination is an approved drug, the FDA and other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regulatory authorities will require full demonstration of the safety of each component (alone and in combination), as well as the efficacy of the combination (and the contribution of each component). In either combination product scenario (proprietary dual combination or add-on to standard of care), additional safety, efficacy and/or drug-drug interaction data may be required relative to what would be required for a monotherapy.</w:t>
      </w:r>
    </w:p>
    <w:p>
      <w:pPr>
        <w:spacing w:after="0" w:line="159" w:lineRule="exact"/>
        <w:rPr>
          <w:sz w:val="20"/>
          <w:szCs w:val="20"/>
          <w:color w:val="auto"/>
        </w:rPr>
      </w:pPr>
    </w:p>
    <w:p>
      <w:pPr>
        <w:ind w:firstLine="627"/>
        <w:spacing w:after="0" w:line="298" w:lineRule="auto"/>
        <w:rPr>
          <w:sz w:val="20"/>
          <w:szCs w:val="20"/>
          <w:color w:val="auto"/>
        </w:rPr>
      </w:pPr>
      <w:r>
        <w:rPr>
          <w:rFonts w:ascii="Arial" w:cs="Arial" w:eastAsia="Arial" w:hAnsi="Arial"/>
          <w:sz w:val="17"/>
          <w:szCs w:val="17"/>
          <w:color w:val="auto"/>
        </w:rPr>
        <w:t>Our current and future product candidates could be delayed in receiving, or fail to receive, regulatory approval for many reasons, including the following:</w:t>
      </w:r>
    </w:p>
    <w:p>
      <w:pPr>
        <w:spacing w:after="0" w:line="37" w:lineRule="exact"/>
        <w:rPr>
          <w:sz w:val="20"/>
          <w:szCs w:val="20"/>
          <w:color w:val="auto"/>
        </w:rPr>
      </w:pPr>
    </w:p>
    <w:p>
      <w:pPr>
        <w:ind w:left="640" w:right="940" w:hanging="166"/>
        <w:spacing w:after="0" w:line="298"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as to the design or implementation of our clinical trials and interpretation of data from clinical trials or preclinical studies;</w:t>
      </w:r>
    </w:p>
    <w:p>
      <w:pPr>
        <w:spacing w:after="0" w:line="36" w:lineRule="exact"/>
        <w:rPr>
          <w:rFonts w:ascii="Arial" w:cs="Arial" w:eastAsia="Arial" w:hAnsi="Arial"/>
          <w:sz w:val="17"/>
          <w:szCs w:val="17"/>
          <w:color w:val="auto"/>
        </w:rPr>
      </w:pPr>
    </w:p>
    <w:p>
      <w:pPr>
        <w:ind w:left="640" w:right="200" w:hanging="166"/>
        <w:spacing w:after="0" w:line="298"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product candidate is safe and effective for its proposed indication;</w:t>
      </w:r>
    </w:p>
    <w:p>
      <w:pPr>
        <w:spacing w:after="0" w:line="36" w:lineRule="exact"/>
        <w:rPr>
          <w:rFonts w:ascii="Arial" w:cs="Arial" w:eastAsia="Arial" w:hAnsi="Arial"/>
          <w:sz w:val="17"/>
          <w:szCs w:val="17"/>
          <w:color w:val="auto"/>
        </w:rPr>
      </w:pPr>
    </w:p>
    <w:p>
      <w:pPr>
        <w:ind w:left="640" w:right="740" w:hanging="166"/>
        <w:spacing w:after="0" w:line="298"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unable to demonstrate that a product candidate’s benefits outweigh its risks;</w:t>
      </w:r>
    </w:p>
    <w:p>
      <w:pPr>
        <w:spacing w:after="0" w:line="117" w:lineRule="exact"/>
        <w:rPr>
          <w:rFonts w:ascii="Arial" w:cs="Arial" w:eastAsia="Arial" w:hAnsi="Arial"/>
          <w:sz w:val="17"/>
          <w:szCs w:val="17"/>
          <w:color w:val="auto"/>
        </w:rPr>
      </w:pPr>
    </w:p>
    <w:p>
      <w:pPr>
        <w:ind w:left="640" w:right="240" w:hanging="166"/>
        <w:spacing w:after="0" w:line="298"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an NDA to the FDA or other submission to obtain regulatory approval in the European Union or elsewhere;</w:t>
      </w:r>
    </w:p>
    <w:p>
      <w:pPr>
        <w:spacing w:after="0" w:line="36" w:lineRule="exact"/>
        <w:rPr>
          <w:rFonts w:ascii="Arial" w:cs="Arial" w:eastAsia="Arial" w:hAnsi="Arial"/>
          <w:sz w:val="17"/>
          <w:szCs w:val="17"/>
          <w:color w:val="auto"/>
        </w:rPr>
      </w:pPr>
    </w:p>
    <w:p>
      <w:pPr>
        <w:ind w:left="640" w:right="40" w:hanging="166"/>
        <w:spacing w:after="0" w:line="298"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36" w:lineRule="exact"/>
        <w:rPr>
          <w:rFonts w:ascii="Arial" w:cs="Arial" w:eastAsia="Arial" w:hAnsi="Arial"/>
          <w:sz w:val="17"/>
          <w:szCs w:val="17"/>
          <w:color w:val="auto"/>
        </w:rPr>
      </w:pPr>
    </w:p>
    <w:p>
      <w:pPr>
        <w:ind w:left="640" w:right="720" w:hanging="166"/>
        <w:spacing w:after="0" w:line="298"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1" w:lineRule="exact"/>
        <w:rPr>
          <w:sz w:val="20"/>
          <w:szCs w:val="20"/>
          <w:color w:val="auto"/>
        </w:rPr>
      </w:pPr>
    </w:p>
    <w:p>
      <w:pPr>
        <w:ind w:right="80" w:firstLine="627"/>
        <w:spacing w:after="0" w:line="262" w:lineRule="auto"/>
        <w:rPr>
          <w:sz w:val="20"/>
          <w:szCs w:val="20"/>
          <w:color w:val="auto"/>
        </w:rPr>
      </w:pPr>
      <w:r>
        <w:rPr>
          <w:rFonts w:ascii="Arial" w:cs="Arial" w:eastAsia="Arial" w:hAnsi="Arial"/>
          <w:sz w:val="17"/>
          <w:szCs w:val="17"/>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to market our product candidates, which would significantly harm our business, financial condition, results of operations and prospects. The FDA and comparable foreign authorities have substantial discretion in the approval process and determining when or whether regulatory approval will be granted for any product candidate that we develop.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or changes.</w:t>
      </w:r>
    </w:p>
    <w:p>
      <w:pPr>
        <w:spacing w:after="0" w:line="173" w:lineRule="exact"/>
        <w:rPr>
          <w:sz w:val="20"/>
          <w:szCs w:val="20"/>
          <w:color w:val="auto"/>
        </w:rPr>
      </w:pPr>
    </w:p>
    <w:p>
      <w:pPr>
        <w:ind w:right="120" w:firstLine="627"/>
        <w:spacing w:after="0" w:line="262" w:lineRule="auto"/>
        <w:rPr>
          <w:sz w:val="20"/>
          <w:szCs w:val="20"/>
          <w:color w:val="auto"/>
        </w:rPr>
      </w:pPr>
      <w:r>
        <w:rPr>
          <w:rFonts w:ascii="Arial" w:cs="Arial" w:eastAsia="Arial" w:hAnsi="Arial"/>
          <w:sz w:val="17"/>
          <w:szCs w:val="17"/>
          <w:color w:val="auto"/>
        </w:rPr>
        <w:t>Even if we complete clinical testing and receive approval of an NDA or foreign marketing application for our current or future product candidates, the FDA or the applicable foreign regulatory agency may grant approval or other marketing authorization contingent on the performance of costly additional clinical trials, including post-marketing clinical trials. The FDA or the applicable foreign regulatory agency also may approve or authorize for marketing a product candidate for a more limited indication or patient population than we originally request, and the FDA or applicable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or failure to obtain our desired product label, would delay or prevent commercialization of that product candidate and would materially adversely impact our business and prospects.</w:t>
      </w:r>
    </w:p>
    <w:p>
      <w:pPr>
        <w:spacing w:after="0" w:line="173"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In addition, the FDA and other regulatory authorities may change their policies, issue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obtain. Further, macroeconomic and other global conditions have impacted and could in the future impact the ability of the FDA and comparable foreign regulatory authorities to provide any required approvals or marketing authorizations for our product candidates or result in the delay of such approvals or authorizations. Changes to the requirements and policies of the FDA, the SEC and other regulatory agencies with jurisdiction over our product candidates and our business could present new challenges or potential opportunities as we navigate the clinical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development and approval process for our product candidates. Some of these efforts have manifested to date in the form of personnel measures that could impact the FDA's ability to hire and retain key personnel, which could result in delays or limitations on our ability to obtain guidance from the FDA on our product candidates in development, to have preapproval inspections completed in a timely fashion, and to obtain the requisite regulatory approvals in the future.</w:t>
      </w:r>
    </w:p>
    <w:p>
      <w:pPr>
        <w:spacing w:after="0" w:line="165" w:lineRule="exact"/>
        <w:rPr>
          <w:sz w:val="20"/>
          <w:szCs w:val="20"/>
          <w:color w:val="auto"/>
        </w:rPr>
      </w:pPr>
    </w:p>
    <w:p>
      <w:pPr>
        <w:ind w:right="100" w:firstLine="627"/>
        <w:spacing w:after="0" w:line="266" w:lineRule="auto"/>
        <w:rPr>
          <w:sz w:val="20"/>
          <w:szCs w:val="20"/>
          <w:color w:val="auto"/>
        </w:rPr>
      </w:pPr>
      <w:r>
        <w:rPr>
          <w:rFonts w:ascii="Arial" w:cs="Arial" w:eastAsia="Arial" w:hAnsi="Arial"/>
          <w:sz w:val="17"/>
          <w:szCs w:val="17"/>
          <w:color w:val="auto"/>
        </w:rPr>
        <w:t>There remains general uncertainty regarding future potential policy changes at the FDA and other regulatory agencies, which could adversely affect us or create a more challenging or costly environment to pursue the development of new therapeutic products. Additionally, state governments may attempt to address or react to changes at the federal level with changes to their own regulatory frameworks in a manner that is adverse to our operations. If we become negatively impacted by changes in regulatory policy, there could be a material adverse effect on us and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and clinical product development involves a lengthy and expensive process, with an uncertain outcome.</w:t>
      </w:r>
    </w:p>
    <w:p>
      <w:pPr>
        <w:spacing w:after="0" w:line="118" w:lineRule="exact"/>
        <w:rPr>
          <w:sz w:val="20"/>
          <w:szCs w:val="20"/>
          <w:color w:val="auto"/>
        </w:rPr>
      </w:pPr>
    </w:p>
    <w:p>
      <w:pPr>
        <w:ind w:right="60" w:firstLine="627"/>
        <w:spacing w:after="0" w:line="260" w:lineRule="auto"/>
        <w:rPr>
          <w:sz w:val="20"/>
          <w:szCs w:val="20"/>
          <w:color w:val="auto"/>
        </w:rPr>
      </w:pPr>
      <w:r>
        <w:rPr>
          <w:rFonts w:ascii="Arial" w:cs="Arial" w:eastAsia="Arial" w:hAnsi="Arial"/>
          <w:sz w:val="17"/>
          <w:szCs w:val="17"/>
          <w:color w:val="auto"/>
        </w:rPr>
        <w:t>Our current assumptions about our product candidates’ development potential are based on the data generated from preclinical studies and clinical trials; however, we may observe materially and adversely different safety results as we continue to conduct our clinical trials. In order to obtain FDA approval to market a new drug product, we must demonstrate the safety and efficacy of the drug in humans in a manner that satisfies the agency’s standards. It is impossible to predict when or if any of our product candidates will prove effective or safe in humans or will receive regulatory approval. Before obtaining marketing approval from regulatory authorities, including the FDA, we must complete preclinical development and then conduct extensive clinical trials to demonstrate the safety, potency and efficacy of our product candidates in humans. A failure of one or more clinical trials can occur at any stage of testing or at any time during the trial process. The outcome of preclinical testing and early clinical trials may not be predictive of the results of later clinical trials as to safety or efficacy, particularly if later clinical trials have a materially different trial design. The historical failure rate for product candidates in our industry is high, particularly in the earlier stages of development.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386"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We have not completed all of the clinical trials required for the approval of any of our product candidates. We cannot assure you that any preclinical study or clinical trial that we are conducting, or may conduct in the future, will demonstrate consistent or adequate efficacy and safety to obtain regulatory approval to market our product candidates.</w:t>
      </w:r>
    </w:p>
    <w:p>
      <w:pPr>
        <w:spacing w:after="0" w:line="263"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b w:val="1"/>
          <w:bCs w:val="1"/>
          <w:i w:val="1"/>
          <w:iCs w:val="1"/>
          <w:color w:val="auto"/>
        </w:rPr>
        <w:t>We may incur additional costs and experience delays in completing, or ultimately be unable to complete, the development and commercialization of our product candidates.</w:t>
      </w:r>
    </w:p>
    <w:p>
      <w:pPr>
        <w:spacing w:after="0" w:line="20" w:lineRule="exact"/>
        <w:rPr>
          <w:sz w:val="20"/>
          <w:szCs w:val="20"/>
          <w:color w:val="auto"/>
        </w:rPr>
      </w:pPr>
    </w:p>
    <w:p>
      <w:pPr>
        <w:ind w:right="240" w:firstLine="627"/>
        <w:spacing w:after="0" w:line="270" w:lineRule="auto"/>
        <w:rPr>
          <w:sz w:val="20"/>
          <w:szCs w:val="20"/>
          <w:color w:val="auto"/>
        </w:rPr>
      </w:pPr>
      <w:r>
        <w:rPr>
          <w:rFonts w:ascii="Arial" w:cs="Arial" w:eastAsia="Arial" w:hAnsi="Arial"/>
          <w:sz w:val="17"/>
          <w:szCs w:val="17"/>
          <w:color w:val="auto"/>
        </w:rPr>
        <w:t>We may incur additional costs and experience delays in clinical trials for our product candidates, and we do not know whether future clinical trials, if any, will begin on time, need to be redesigned, enroll an adequate number of patients on time or be completed on schedule, if at all. We may experience numerous unforeseen events during or as a result of preclinical studies or clinical trials that could delay or prevent our ability to continue or complete clinical development, receive marketing approval or commercialize our product candidates, including:</w:t>
      </w:r>
    </w:p>
    <w:p>
      <w:pPr>
        <w:spacing w:after="0" w:line="60" w:lineRule="exact"/>
        <w:rPr>
          <w:sz w:val="20"/>
          <w:szCs w:val="20"/>
          <w:color w:val="auto"/>
        </w:rPr>
      </w:pPr>
    </w:p>
    <w:p>
      <w:pPr>
        <w:ind w:left="640" w:right="260" w:hanging="166"/>
        <w:spacing w:after="0" w:line="298" w:lineRule="auto"/>
        <w:tabs>
          <w:tab w:leader="none" w:pos="6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regulators or institutional review boards not authorizing us or our investigators to commence a clinical trial or conduct a clinical trial at a prospective trial site;</w:t>
      </w:r>
    </w:p>
    <w:p>
      <w:pPr>
        <w:spacing w:after="0" w:line="36" w:lineRule="exact"/>
        <w:rPr>
          <w:rFonts w:ascii="Arial" w:cs="Arial" w:eastAsia="Arial" w:hAnsi="Arial"/>
          <w:sz w:val="17"/>
          <w:szCs w:val="17"/>
          <w:color w:val="auto"/>
        </w:rPr>
      </w:pPr>
    </w:p>
    <w:p>
      <w:pPr>
        <w:ind w:left="640" w:right="140" w:hanging="166"/>
        <w:spacing w:after="0" w:line="277" w:lineRule="auto"/>
        <w:tabs>
          <w:tab w:leader="none" w:pos="6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experiencing delays in reaching, or failing to reach, agreement on acceptable clinical trial contracts or clinical trial protocols with prospective trial sites or prospective CROs, the terms of which can be subject to extensive negotiation and may vary significantly among different CROs and trial sites;</w:t>
      </w:r>
    </w:p>
    <w:p>
      <w:pPr>
        <w:spacing w:after="0" w:line="54" w:lineRule="exact"/>
        <w:rPr>
          <w:rFonts w:ascii="Arial" w:cs="Arial" w:eastAsia="Arial" w:hAnsi="Arial"/>
          <w:sz w:val="17"/>
          <w:szCs w:val="17"/>
          <w:color w:val="auto"/>
        </w:rPr>
      </w:pPr>
    </w:p>
    <w:p>
      <w:pPr>
        <w:ind w:left="640" w:right="100" w:hanging="166"/>
        <w:spacing w:after="0" w:line="298" w:lineRule="auto"/>
        <w:tabs>
          <w:tab w:leader="none" w:pos="6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clinical trials of our product candidates producing negative or inconclusive results, including failure to demonstrate statistical significance, and we may decide, or regulators may require us, to conduct additional clinical trials or abandon product development programs;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right="80" w:hanging="166"/>
        <w:spacing w:after="0" w:line="277"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failing to demonstrate statistical significance in clinical trials of our product candidates, which may impact the timing and design of late-stage clinical trials for such product candidates, or failing to demonstrate statistical significance in late-stage trials despite promising early stage results;</w:t>
      </w:r>
    </w:p>
    <w:p>
      <w:pPr>
        <w:spacing w:after="0" w:line="54" w:lineRule="exact"/>
        <w:rPr>
          <w:rFonts w:ascii="Arial" w:cs="Arial" w:eastAsia="Arial" w:hAnsi="Arial"/>
          <w:sz w:val="17"/>
          <w:szCs w:val="17"/>
          <w:color w:val="auto"/>
        </w:rPr>
      </w:pPr>
    </w:p>
    <w:p>
      <w:pPr>
        <w:ind w:left="640" w:hanging="166"/>
        <w:spacing w:after="0" w:line="270"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being larger than we anticipate; enrollment in these clinical trials being slower than we anticipate, for example, due to the availability of standard of care therapy, changes to standard of care therapy, and the reluctance of patients to discontinue standard of care therapy in order to participate in certain of our future clinical trials; or participants dropping out of these clinical trials or failing to return for post-treatment follow-up at a higher rate than we anticipate;</w:t>
      </w:r>
    </w:p>
    <w:p>
      <w:pPr>
        <w:spacing w:after="0" w:line="60" w:lineRule="exact"/>
        <w:rPr>
          <w:rFonts w:ascii="Arial" w:cs="Arial" w:eastAsia="Arial" w:hAnsi="Arial"/>
          <w:sz w:val="17"/>
          <w:szCs w:val="17"/>
          <w:color w:val="auto"/>
        </w:rPr>
      </w:pPr>
    </w:p>
    <w:p>
      <w:pPr>
        <w:ind w:left="640" w:right="340" w:hanging="166"/>
        <w:spacing w:after="0" w:line="298"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product candidates having undesirable side effects (including drug-drug interactions), unexpected toxicology findings, or other unexpected characteristics, causing us or our investigators, regulators or institutional review boards to suspend or terminate the trials;</w:t>
      </w:r>
    </w:p>
    <w:p>
      <w:pPr>
        <w:spacing w:after="0" w:line="36" w:lineRule="exact"/>
        <w:rPr>
          <w:rFonts w:ascii="Arial" w:cs="Arial" w:eastAsia="Arial" w:hAnsi="Arial"/>
          <w:sz w:val="17"/>
          <w:szCs w:val="17"/>
          <w:color w:val="auto"/>
        </w:rPr>
      </w:pPr>
    </w:p>
    <w:p>
      <w:pPr>
        <w:ind w:left="640" w:right="140" w:hanging="166"/>
        <w:spacing w:after="0" w:line="298"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third-party contractors failing to comply with regulatory requirements or meet their contractual obligations to us in a timely manner, or at all;</w:t>
      </w:r>
    </w:p>
    <w:p>
      <w:pPr>
        <w:spacing w:after="0" w:line="36" w:lineRule="exact"/>
        <w:rPr>
          <w:rFonts w:ascii="Arial" w:cs="Arial" w:eastAsia="Arial" w:hAnsi="Arial"/>
          <w:sz w:val="17"/>
          <w:szCs w:val="17"/>
          <w:color w:val="auto"/>
        </w:rPr>
      </w:pPr>
    </w:p>
    <w:p>
      <w:pPr>
        <w:jc w:val="both"/>
        <w:ind w:left="640" w:right="520" w:hanging="166"/>
        <w:spacing w:after="0" w:line="277"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w:t>
      </w:r>
    </w:p>
    <w:p>
      <w:pPr>
        <w:spacing w:after="0" w:line="54" w:lineRule="exact"/>
        <w:rPr>
          <w:rFonts w:ascii="Arial" w:cs="Arial" w:eastAsia="Arial" w:hAnsi="Arial"/>
          <w:sz w:val="17"/>
          <w:szCs w:val="17"/>
          <w:color w:val="auto"/>
        </w:rPr>
      </w:pPr>
    </w:p>
    <w:p>
      <w:pPr>
        <w:ind w:left="620" w:hanging="14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future collaborators, if any, conducting clinical trials in ways they view as advantageous to them but that are suboptimal to us;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being greater than we anticipate;</w:t>
      </w:r>
    </w:p>
    <w:p>
      <w:pPr>
        <w:spacing w:after="0" w:line="117" w:lineRule="exact"/>
        <w:rPr>
          <w:rFonts w:ascii="Arial" w:cs="Arial" w:eastAsia="Arial" w:hAnsi="Arial"/>
          <w:sz w:val="17"/>
          <w:szCs w:val="17"/>
          <w:color w:val="auto"/>
        </w:rPr>
      </w:pPr>
    </w:p>
    <w:p>
      <w:pPr>
        <w:ind w:left="640" w:right="340" w:hanging="166"/>
        <w:spacing w:after="0" w:line="298"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including comparator drug, to conduct clinical trials of our product candidates being insufficient, inadequate or too costly; and</w:t>
      </w:r>
    </w:p>
    <w:p>
      <w:pPr>
        <w:spacing w:after="0" w:line="141" w:lineRule="exact"/>
        <w:rPr>
          <w:rFonts w:ascii="Arial" w:cs="Arial" w:eastAsia="Arial" w:hAnsi="Arial"/>
          <w:sz w:val="17"/>
          <w:szCs w:val="17"/>
          <w:color w:val="auto"/>
        </w:rPr>
      </w:pPr>
    </w:p>
    <w:p>
      <w:pPr>
        <w:ind w:left="640" w:right="220" w:hanging="166"/>
        <w:spacing w:after="0" w:line="277"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budget reductions, hiring freezes, or similar actions at clinical trial sites and other institutions negatively impacting the ability of sites to conduct clinical trials or increasing the costs to us of conducting our trials, including, for example, a proposed action to freeze or reduce the budget of the National Institutes of Health as related to its funding for medical research.</w:t>
      </w:r>
    </w:p>
    <w:p>
      <w:pPr>
        <w:spacing w:after="0" w:line="159" w:lineRule="exact"/>
        <w:rPr>
          <w:sz w:val="20"/>
          <w:szCs w:val="20"/>
          <w:color w:val="auto"/>
        </w:rPr>
      </w:pPr>
    </w:p>
    <w:p>
      <w:pPr>
        <w:ind w:right="80" w:firstLine="627"/>
        <w:spacing w:after="0" w:line="277"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favorable or if there are safety concerns, we may, among other things:</w:t>
      </w:r>
    </w:p>
    <w:p>
      <w:pPr>
        <w:spacing w:after="0" w:line="54" w:lineRule="exact"/>
        <w:rPr>
          <w:sz w:val="20"/>
          <w:szCs w:val="20"/>
          <w:color w:val="auto"/>
        </w:rPr>
      </w:pPr>
    </w:p>
    <w:p>
      <w:pPr>
        <w:ind w:left="620" w:hanging="14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have the product removed from the market after obtaining marketing approval.</w:t>
      </w:r>
    </w:p>
    <w:p>
      <w:pPr>
        <w:spacing w:after="0" w:line="222" w:lineRule="exact"/>
        <w:rPr>
          <w:sz w:val="20"/>
          <w:szCs w:val="20"/>
          <w:color w:val="auto"/>
        </w:rPr>
      </w:pPr>
    </w:p>
    <w:p>
      <w:pPr>
        <w:ind w:right="40" w:firstLine="627"/>
        <w:spacing w:after="0" w:line="263" w:lineRule="auto"/>
        <w:rPr>
          <w:sz w:val="20"/>
          <w:szCs w:val="20"/>
          <w:color w:val="auto"/>
        </w:rPr>
      </w:pPr>
      <w:r>
        <w:rPr>
          <w:rFonts w:ascii="Arial" w:cs="Arial" w:eastAsia="Arial" w:hAnsi="Arial"/>
          <w:sz w:val="17"/>
          <w:szCs w:val="17"/>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a comparable foreign regulatory authority, as the case may be, and may ultimately lead to the denial of marketing approval.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We have not yet completed all testing of any product candidate in clinical trials. Preclinical, interim, topline and preliminary results from our preclinical studies or clinical trials are not necessarily predictive of the results or analyses of such results of later clinical trials. If we cannot replicate the positive results from any preclinical studies or clinical trials of our current or potential future product candidates that have positive results, or if we suffer any other significant setbacks in our later clinical trials, we may be unable to successfully develop, obtain regulatory approval for and commercialize our current or potential future product candidates.</w:t>
      </w:r>
    </w:p>
    <w:p>
      <w:pPr>
        <w:spacing w:after="0" w:line="53"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Success in preclinical testing and early clinical trials does not ensure that later clinical trials will generate the same results or otherwise provide adequate data to demonstrate the efficacy and safety of a product candidate. Preclinical studies, Phase 1 and Phase 2a clinical trials are primarily designed to test safety, to study pharmacokinetics and pharmacodynamics, and to understand the side effects of product candidates at various doses and dosing schedules. Success in preclinical or animal studies and early clinical trials does not ensure that later large-scale efficacy trials will be successful, nor does it predict final results. Our product candidates may fail to show the desired safety, tolerability, pharmacokinetic profile, and efficacy in clinical development despite positive results in preclinical studies or having successfully advanced through initial clinical trials, particularly because our NBD1 stabilizer product candidates target the NBD1 domain of the cystic fibrosis transmembrane conductance regulator (“CFTR”) protein, a novel target which has not previously been tested in CF patients.</w:t>
      </w:r>
    </w:p>
    <w:p>
      <w:pPr>
        <w:spacing w:after="0" w:line="173" w:lineRule="exact"/>
        <w:rPr>
          <w:sz w:val="20"/>
          <w:szCs w:val="20"/>
          <w:color w:val="auto"/>
        </w:rPr>
      </w:pPr>
    </w:p>
    <w:p>
      <w:pPr>
        <w:ind w:right="40" w:firstLine="627"/>
        <w:spacing w:after="0" w:line="261"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even after achieving promising results in preclinical testing and earlier-stage clinical trials. Such setbacks have occurred and may occur for many reasons, including: clinical sites and investigators may deviate from clinical trial protocols, whether due to lack of training or otherwise, and we may fail to detect any such deviations in a timely manner; patients may fail to adhere to any required clinical trial procedures, including post-treatment follow-up; our product candidates may fail to demonstrate effectiveness or safety in certain patient subpopulations or at all; or our clinical trials may not adequately represent the patient populations we intend to treat, whether due to limitations in our trial designs or otherwise.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w:t>
      </w:r>
    </w:p>
    <w:p>
      <w:pPr>
        <w:spacing w:after="0" w:line="175" w:lineRule="exact"/>
        <w:rPr>
          <w:sz w:val="20"/>
          <w:szCs w:val="20"/>
          <w:color w:val="auto"/>
        </w:rPr>
      </w:pPr>
    </w:p>
    <w:p>
      <w:pPr>
        <w:ind w:right="160" w:firstLine="627"/>
        <w:spacing w:after="0" w:line="261" w:lineRule="auto"/>
        <w:rPr>
          <w:sz w:val="20"/>
          <w:szCs w:val="20"/>
          <w:color w:val="auto"/>
        </w:rPr>
      </w:pPr>
      <w:r>
        <w:rPr>
          <w:rFonts w:ascii="Arial" w:cs="Arial" w:eastAsia="Arial" w:hAnsi="Arial"/>
          <w:sz w:val="17"/>
          <w:szCs w:val="17"/>
          <w:color w:val="auto"/>
        </w:rPr>
        <w:t>Similarly, from time to time, we may publish interim, topline or preliminary results from our preclinical studies and clinical trials, which are based on a preliminary analysis of then-available data. We make assumptions, estimations, calculations and conclusions as part of our preliminary analyses of data, and we may not have received or had the opportunity to fully and carefully evaluate all data. As a result, the results and related findings and conclusions are subject to change following a more comprehensive review of the data related to the particular study or trial.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Adverse differences between interim, topline or preliminary data and final data could significantly harm our business prospects and may cause the trading price of our common stock to fluctuate significantly.</w:t>
      </w:r>
    </w:p>
    <w:p>
      <w:pPr>
        <w:spacing w:after="0" w:line="384" w:lineRule="exact"/>
        <w:rPr>
          <w:sz w:val="20"/>
          <w:szCs w:val="20"/>
          <w:color w:val="auto"/>
        </w:rPr>
      </w:pPr>
    </w:p>
    <w:p>
      <w:pPr>
        <w:ind w:right="60" w:firstLine="627"/>
        <w:spacing w:after="0" w:line="262" w:lineRule="auto"/>
        <w:rPr>
          <w:sz w:val="20"/>
          <w:szCs w:val="20"/>
          <w:color w:val="auto"/>
        </w:rPr>
      </w:pPr>
      <w:r>
        <w:rPr>
          <w:rFonts w:ascii="Arial" w:cs="Arial" w:eastAsia="Arial" w:hAnsi="Arial"/>
          <w:sz w:val="17"/>
          <w:szCs w:val="17"/>
          <w:color w:val="auto"/>
        </w:rPr>
        <w:t xml:space="preserve">For example, central to our pipeline prioritization strategy is our application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electrophysiology assay to measure CFTR function in a CF model, known as the cystic fibrosis human bronchial epithelial (“CFHBE”) model, which uses lung cells from CF patients and has been shown to be predictive of clinical outcomes for approved CFTR modulators. In preclinical studies using our CFHBE model, the combination of either SION-719 or SION-451 with one of our complementary modulators or the components of Trikafta showed significant improvement in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CFTR activity and the potential for restoration of CFTR function to wild-type levels. However, we have not yet replicated such results in</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trials, and our product candidates may fail to show the desired safety and efficacy at the dose ranges we have identified using our CFHBE model. Positive results in our preclinical studies using our CFHBE model may not be predictive of the results in clinical trials and may fail to be replicated in clinical trials.</w:t>
      </w:r>
    </w:p>
    <w:p>
      <w:pPr>
        <w:spacing w:after="0" w:line="173" w:lineRule="exact"/>
        <w:rPr>
          <w:sz w:val="20"/>
          <w:szCs w:val="20"/>
          <w:color w:val="auto"/>
        </w:rPr>
      </w:pPr>
    </w:p>
    <w:p>
      <w:pPr>
        <w:ind w:right="180" w:firstLine="627"/>
        <w:spacing w:after="0" w:line="277"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product candidate or product and our company in general. In addition, the information we choose to publicly disclose regarding a particular study or clinical trial is based on what is typically extensive information, and investors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7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Targeting the NBD1 domain of the CFTR protein is novel, and the time, cost of development, and likelihood of successful product development is difficult to predict.</w:t>
      </w:r>
    </w:p>
    <w:p>
      <w:pPr>
        <w:spacing w:after="0" w:line="20"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Our NBD1 stabilizer product candidates target the NBD1 domain of the CFTR protein, which is a novel target. Other companies have discontinued programs targeting NBD1 as they were unable to develop compounds that could successfully bind to NBD1. Given the novelty of our product candidates and the inherent risk in our plans to develop a combination or add-on therapy, we may not be able to successfully develop any products.</w:t>
      </w:r>
    </w:p>
    <w:p>
      <w:pPr>
        <w:spacing w:after="0" w:line="165" w:lineRule="exact"/>
        <w:rPr>
          <w:sz w:val="20"/>
          <w:szCs w:val="20"/>
          <w:color w:val="auto"/>
        </w:rPr>
      </w:pPr>
    </w:p>
    <w:p>
      <w:pPr>
        <w:ind w:right="20" w:firstLine="627"/>
        <w:spacing w:after="0" w:line="259" w:lineRule="auto"/>
        <w:rPr>
          <w:sz w:val="20"/>
          <w:szCs w:val="20"/>
          <w:color w:val="auto"/>
        </w:rPr>
      </w:pPr>
      <w:r>
        <w:rPr>
          <w:rFonts w:ascii="Arial" w:cs="Arial" w:eastAsia="Arial" w:hAnsi="Arial"/>
          <w:sz w:val="17"/>
          <w:szCs w:val="17"/>
          <w:color w:val="auto"/>
        </w:rPr>
        <w:t>While products modulating the CFTR protein have been approved by the FDA and comparable foreign regulatory authorities, to date, no product that directly targets the NBD1 domain has been approved, and to our knowledge, no product candidate directly targeting the NBD1 domain is currently in development. As a result, it is difficult to predict the developmental challenges we may encounter as our NBD1 stabilizers proceed through clinical trials, including our ongoing clinical trials evaluating SION-451 in combination with each of SION-2222 and SION-109, and evaluating SION-719 as an add-on to the standard of care. It is also difficult for us to predict the time and cost of development of an NBD1 stabilizer-anchored combination therapy, whether any of our clinical trials will be successful, and whether our novel approach will result in the successful development and regulatory approval of any product candidates. Any development problems we experience in the future related to our NBD1 stabilizer product candidates or any of our complementary modulator candidates may cause significant delays or unanticipated costs, and such development problems may not be able to be solved. The novelty of our product candidates and our combination therapy approach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For example, the FDA could require additional studies that may be difficult or impossible to perform, or prohibitively costly. Any of these factors may prevent us from completing clinical trials that we may initiate, and obtaining regulatory approval of or commercializing any product candidates we may develop, on a timely or profitable basis, if at all.</w:t>
      </w:r>
    </w:p>
    <w:p>
      <w:pPr>
        <w:spacing w:after="0" w:line="284"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the safety and efficacy of our product candidates, or serious or unacceptable adverse side effects or unexpected toxicology findings may be identified during the development of our product candidates, which could prevent or delay further clinical development, regulatory approvals and commercialization, impact the product’s labeling, if approved, increase our costs or necessitate the abandonment or limitation of the development of some of our product candidates.</w:t>
      </w:r>
    </w:p>
    <w:p>
      <w:pPr>
        <w:spacing w:after="0" w:line="53"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Clinical trials often fail to demonstrate safety or efficacy of the product candidate studied for the target indication. If our product candidates are associated with serious or significant adverse side effects in clinical trials or have adverse safety findings in nonclinical studies, we may need to abandon their development or limit development to more narrow uses in which the side effects or other characteristics are less prevalent, less severe or more acceptable from a benefit-risk perspective. The FDA or other comparable foreign regulatory authority or an institutional review board or ethics committee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indication, if approved. Many product candidates that initially showed promise in early-stage testing have later been found to cause adverse side effects that prevented further development of the product candidate.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00" w:firstLine="627"/>
        <w:spacing w:after="0" w:line="298" w:lineRule="auto"/>
        <w:rPr>
          <w:sz w:val="20"/>
          <w:szCs w:val="20"/>
          <w:color w:val="auto"/>
        </w:rPr>
      </w:pPr>
      <w:r>
        <w:rPr>
          <w:rFonts w:ascii="Arial" w:cs="Arial" w:eastAsia="Arial" w:hAnsi="Arial"/>
          <w:sz w:val="17"/>
          <w:szCs w:val="17"/>
          <w:color w:val="auto"/>
        </w:rPr>
        <w:t>Additionally, if one or more of our product candidates receives marketing approval, and we or others subsequently identify undesirable side effects caused by such products, a number of potentially significant negative consequences could result, including:</w:t>
      </w:r>
    </w:p>
    <w:p>
      <w:pPr>
        <w:spacing w:after="0" w:line="37" w:lineRule="exact"/>
        <w:rPr>
          <w:sz w:val="20"/>
          <w:szCs w:val="20"/>
          <w:color w:val="auto"/>
        </w:rPr>
      </w:pPr>
    </w:p>
    <w:p>
      <w:pPr>
        <w:ind w:left="640" w:right="820" w:hanging="166"/>
        <w:spacing w:after="0" w:line="298"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authorities may withdraw, suspend or limit approvals of such product or seek an injunction against its manufacture or distribution;</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required to recall a product;</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labels, such as a boxed warning or a contraindication;</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117" w:lineRule="exact"/>
        <w:rPr>
          <w:rFonts w:ascii="Arial" w:cs="Arial" w:eastAsia="Arial" w:hAnsi="Arial"/>
          <w:sz w:val="17"/>
          <w:szCs w:val="17"/>
          <w:color w:val="auto"/>
        </w:rPr>
      </w:pPr>
    </w:p>
    <w:p>
      <w:pPr>
        <w:ind w:left="640" w:right="120" w:hanging="166"/>
        <w:spacing w:after="0" w:line="298"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sales of the product may decrease significantly or the product could become less competitive;</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not be able to achieve or maintain third-party payor coverage and adequate reimbursement;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reputation and physician or patient acceptance of our products may suffer.</w:t>
      </w:r>
    </w:p>
    <w:p>
      <w:pPr>
        <w:spacing w:after="0" w:line="222" w:lineRule="exact"/>
        <w:rPr>
          <w:sz w:val="20"/>
          <w:szCs w:val="20"/>
          <w:color w:val="auto"/>
        </w:rPr>
      </w:pPr>
    </w:p>
    <w:p>
      <w:pPr>
        <w:ind w:right="40" w:firstLine="627"/>
        <w:spacing w:after="0" w:line="274" w:lineRule="auto"/>
        <w:rPr>
          <w:sz w:val="20"/>
          <w:szCs w:val="20"/>
          <w:color w:val="auto"/>
        </w:rPr>
      </w:pPr>
      <w:r>
        <w:rPr>
          <w:rFonts w:ascii="Arial" w:cs="Arial" w:eastAsia="Arial" w:hAnsi="Arial"/>
          <w:sz w:val="17"/>
          <w:szCs w:val="17"/>
          <w:color w:val="auto"/>
        </w:rPr>
        <w:t>There can be no assurance that we will resolve any issues related to any product-related AEs to the satisfaction of the FDA or comparable foreign regulatory authorities in a timely manner or at all. Moreover, any of these events could prevent us from achieving or maintaining market acceptance of a particular product candidate, if approved, and could significantly harm our business, results of operations and prospects.</w:t>
      </w:r>
    </w:p>
    <w:p>
      <w:pPr>
        <w:spacing w:after="0" w:line="200" w:lineRule="exact"/>
        <w:rPr>
          <w:sz w:val="20"/>
          <w:szCs w:val="20"/>
          <w:color w:val="auto"/>
        </w:rPr>
      </w:pPr>
    </w:p>
    <w:p>
      <w:pPr>
        <w:spacing w:after="0" w:line="27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may not be able to obtain orphan drug designation or exclusivity for our product candidates, and even if we do, we may be unable to maintain the benefits associated with orphan drug designation, including the potential for market exclusivity.</w:t>
      </w:r>
    </w:p>
    <w:p>
      <w:pPr>
        <w:spacing w:after="0" w:line="20" w:lineRule="exact"/>
        <w:rPr>
          <w:sz w:val="20"/>
          <w:szCs w:val="20"/>
          <w:color w:val="auto"/>
        </w:rPr>
      </w:pPr>
    </w:p>
    <w:p>
      <w:pPr>
        <w:ind w:right="200" w:firstLine="627"/>
        <w:spacing w:after="0" w:line="261" w:lineRule="auto"/>
        <w:rPr>
          <w:sz w:val="20"/>
          <w:szCs w:val="20"/>
          <w:color w:val="auto"/>
        </w:rPr>
      </w:pPr>
      <w:r>
        <w:rPr>
          <w:rFonts w:ascii="Arial" w:cs="Arial" w:eastAsia="Arial" w:hAnsi="Arial"/>
          <w:sz w:val="17"/>
          <w:szCs w:val="17"/>
          <w:color w:val="auto"/>
        </w:rPr>
        <w:t>We may seek orphan drug designation or exclusivity in the indications targeted by our current or future product candidates. Regulatory authorities in some jurisdictions, including the United States and Europe, may designate drugs for relatively small patient populations as orphan drugs. For example, under the Orphan Drug Act, the FDA may designate a product candidate as an orphan drug if it is intended to treat a rare disease or condition. In order for the FDA to grant orphan drug designation to one of our product candidates, the agency must find that the product candidate is indicated for the treatment of a condition or disease that affects fewer than 200,000 individuals in the U.S. or that affects 200,000 or more individuals in the U.S. and for which there is no reasonable expectation that the cost of developing and making the product candidate available for the disease or condition will be recovered from sales of the product in the U.S. Orphan drug designation must be requested before submitting an NDA. The FDA may conclude that the condition or disease for which we seek orphan drug exclusivity does not meet the required standard, or that the data we have provided are not adequate to justify the scientific plausibility of our product candidate.</w:t>
      </w:r>
    </w:p>
    <w:p>
      <w:pPr>
        <w:spacing w:after="0" w:line="175"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to market the same drug for the same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w:t>
      </w:r>
    </w:p>
    <w:p>
      <w:pPr>
        <w:spacing w:after="0" w:line="170" w:lineRule="exact"/>
        <w:rPr>
          <w:sz w:val="20"/>
          <w:szCs w:val="20"/>
          <w:color w:val="auto"/>
        </w:rPr>
      </w:pPr>
    </w:p>
    <w:p>
      <w:pPr>
        <w:ind w:right="60" w:firstLine="627"/>
        <w:spacing w:after="0" w:line="266" w:lineRule="auto"/>
        <w:rPr>
          <w:sz w:val="20"/>
          <w:szCs w:val="20"/>
          <w:color w:val="auto"/>
        </w:rPr>
      </w:pPr>
      <w:r>
        <w:rPr>
          <w:rFonts w:ascii="Arial" w:cs="Arial" w:eastAsia="Arial" w:hAnsi="Arial"/>
          <w:sz w:val="17"/>
          <w:szCs w:val="17"/>
          <w:color w:val="auto"/>
        </w:rPr>
        <w:t>In addition, even after an orphan drug is approved, the FDA can subsequently approve a different product candidate for the same condition without any requirement to demonstrate potential for clinical superiority (efficacy, safety, or other major contribution to patient care) relative to a product that already has orphan designation or exclusivity. In the U.S.,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0"/>
        <w:spacing w:after="0" w:line="298" w:lineRule="auto"/>
        <w:rPr>
          <w:sz w:val="20"/>
          <w:szCs w:val="20"/>
          <w:color w:val="auto"/>
        </w:rPr>
      </w:pPr>
      <w:r>
        <w:rPr>
          <w:rFonts w:ascii="Arial" w:cs="Arial" w:eastAsia="Arial" w:hAnsi="Arial"/>
          <w:sz w:val="17"/>
          <w:szCs w:val="17"/>
          <w:color w:val="auto"/>
        </w:rPr>
        <w:t>are disclosed publicly by the FDA. Orphan drug designation does not convey any advantage in, or shorten the duration of, the regulatory review and approval process.</w:t>
      </w:r>
    </w:p>
    <w:p>
      <w:pPr>
        <w:spacing w:after="0" w:line="141" w:lineRule="exact"/>
        <w:rPr>
          <w:sz w:val="20"/>
          <w:szCs w:val="20"/>
          <w:color w:val="auto"/>
        </w:rPr>
      </w:pPr>
    </w:p>
    <w:p>
      <w:pPr>
        <w:ind w:right="20" w:firstLine="627"/>
        <w:spacing w:after="0" w:line="268" w:lineRule="auto"/>
        <w:rPr>
          <w:sz w:val="20"/>
          <w:szCs w:val="20"/>
          <w:color w:val="auto"/>
        </w:rPr>
      </w:pPr>
      <w:r>
        <w:rPr>
          <w:rFonts w:ascii="Arial" w:cs="Arial" w:eastAsia="Arial" w:hAnsi="Arial"/>
          <w:sz w:val="17"/>
          <w:szCs w:val="17"/>
          <w:color w:val="auto"/>
        </w:rPr>
        <w:t>A similar regulatory scheme governs approval of orphan product candidates by the European Medicines Agency (“EMA”) in the European Union. The orphan product marketing exclusivity period in the European Union is ten years, which can be reduced to six years if at the end of the fifth year it is determined that a product no longer meets the criteria for orphan drug designation, including if the product is sufficiently profitable so that market exclusivity is no longer justified. The EMA may conclude that our product candidate(s) may not meet the criteria to justify orphan designation.</w:t>
      </w:r>
    </w:p>
    <w:p>
      <w:pPr>
        <w:spacing w:after="0" w:line="200" w:lineRule="exact"/>
        <w:rPr>
          <w:sz w:val="20"/>
          <w:szCs w:val="20"/>
          <w:color w:val="auto"/>
        </w:rPr>
      </w:pPr>
    </w:p>
    <w:p>
      <w:pPr>
        <w:spacing w:after="0" w:line="284"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b w:val="1"/>
          <w:bCs w:val="1"/>
          <w:i w:val="1"/>
          <w:iCs w:val="1"/>
          <w:color w:val="auto"/>
        </w:rPr>
        <w:t>While we may in the future seek designations for our product candidates with the FDA and comparable foreign regulatory authorities that are intended to confer benefits such as a faster development process, an accelerated regulatory pathway or priority review, there can be no assurance that we will successfully obtain such designations. In addition, even if one or more of our product candidates are granted such designations, we may not be able to realize the intended benefits of such designations.</w:t>
      </w:r>
    </w:p>
    <w:p>
      <w:pPr>
        <w:spacing w:after="0" w:line="50" w:lineRule="exact"/>
        <w:rPr>
          <w:sz w:val="20"/>
          <w:szCs w:val="20"/>
          <w:color w:val="auto"/>
        </w:rPr>
      </w:pPr>
    </w:p>
    <w:p>
      <w:pPr>
        <w:ind w:right="120" w:firstLine="627"/>
        <w:spacing w:after="0" w:line="26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of the marketing application(s). However, there can be no assurance that we will successfully obtain such designations for our product candidates. In addition, while such designations could expedite the development or approval process, they generally do not change the standards of product quality, safety or efficacy required to be demonstrated in support of approval. Even if we obtain such designations for our product candidates, there can be no assurance that we will realize their intended benefits.</w:t>
      </w:r>
    </w:p>
    <w:p>
      <w:pPr>
        <w:spacing w:after="0" w:line="171"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For example, we may seek a Fast Track Designation for one or more of our product candidates.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381" w:lineRule="exact"/>
        <w:rPr>
          <w:sz w:val="20"/>
          <w:szCs w:val="20"/>
          <w:color w:val="auto"/>
        </w:rPr>
      </w:pPr>
    </w:p>
    <w:p>
      <w:pPr>
        <w:ind w:right="40" w:firstLine="627"/>
        <w:spacing w:after="0" w:line="263" w:lineRule="auto"/>
        <w:rPr>
          <w:sz w:val="20"/>
          <w:szCs w:val="20"/>
          <w:color w:val="auto"/>
        </w:rPr>
      </w:pPr>
      <w:r>
        <w:rPr>
          <w:rFonts w:ascii="Arial" w:cs="Arial" w:eastAsia="Arial" w:hAnsi="Arial"/>
          <w:sz w:val="17"/>
          <w:szCs w:val="17"/>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171"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Further, the receipt of Breakthrough Therapy Designation for a product candidate may not result in a faster development process, review or approval compared to conventional FDA procedures and does not assure approval by the FDA. In addition, even if any product candidate we develop qualifies for Breakthrough Therapy Designation, the FDA may later decide that the drug no longer meets the conditions for qualification and rescind the designation.</w:t>
      </w:r>
    </w:p>
    <w:p>
      <w:pPr>
        <w:spacing w:after="0" w:line="172" w:lineRule="exact"/>
        <w:rPr>
          <w:sz w:val="20"/>
          <w:szCs w:val="20"/>
          <w:color w:val="auto"/>
        </w:rPr>
      </w:pPr>
    </w:p>
    <w:p>
      <w:pPr>
        <w:ind w:right="40" w:firstLine="627"/>
        <w:spacing w:after="0" w:line="274" w:lineRule="auto"/>
        <w:rPr>
          <w:sz w:val="20"/>
          <w:szCs w:val="20"/>
          <w:color w:val="auto"/>
        </w:rPr>
      </w:pPr>
      <w:r>
        <w:rPr>
          <w:rFonts w:ascii="Arial" w:cs="Arial" w:eastAsia="Arial" w:hAnsi="Arial"/>
          <w:sz w:val="17"/>
          <w:szCs w:val="17"/>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from FDA’s acceptance of the application for review. Priority review designation may be rescinded if a product no longer meets the qualifying criteria.</w:t>
      </w:r>
    </w:p>
    <w:p>
      <w:pPr>
        <w:spacing w:after="0" w:line="27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We may not be able to submit investigational new drug applications "INDs" or IND amendments to commence clinical trials on the timelines we expect, and even if we are able to, the FDA may not permit us to proceed.</w:t>
      </w:r>
    </w:p>
    <w:p>
      <w:pPr>
        <w:spacing w:after="0" w:line="20"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We may not be able to submit INDs for our product candidates on the timelines we expect. For example, we may experience manufacturing delays or other delays with IND-enabling studies. Moreover, we cannot be sure that submission of an IND will result in the FDA allowing related clinical trials to begin, or that, even if such trials do begin, issues will not arise that suspend or terminate such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w:t>
      </w:r>
    </w:p>
    <w:p>
      <w:pPr>
        <w:spacing w:after="0" w:line="276"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 candidates, when and if any of them is approved.</w:t>
      </w:r>
    </w:p>
    <w:p>
      <w:pPr>
        <w:spacing w:after="0" w:line="42"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As part of its decision to approve or grant marketing authorization for one or more of our product candidates, the FDA or other regulatory agencies may require us to perform certain post-marketing activities, such as completion of ongoing or planned studies, initiation of new studies or post-marketing clinical trials (including to assess safety risks), or additional analyses of existing data. Typically, we are required to provide annual updates on the progress of such required activities and to complete the activities by the assigned completion dates. Later discovery of previously unknown problems with our product candidates, including AEs of unanticipated severity or frequency, or with our third-party manufacturers or manufacturing processes, or failure to comply with regulatory requirements, may result in, among other things:</w:t>
      </w:r>
    </w:p>
    <w:p>
      <w:pPr>
        <w:spacing w:after="0" w:line="67" w:lineRule="exact"/>
        <w:rPr>
          <w:sz w:val="20"/>
          <w:szCs w:val="20"/>
          <w:color w:val="auto"/>
        </w:rPr>
      </w:pPr>
    </w:p>
    <w:p>
      <w:pPr>
        <w:ind w:left="640" w:right="420" w:hanging="166"/>
        <w:spacing w:after="0" w:line="298" w:lineRule="auto"/>
        <w:tabs>
          <w:tab w:leader="none" w:pos="6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such products, withdrawal of the product from the market or voluntary or mandatory product recalls;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on or revisions to the labeling or marketing of a medicine;</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on the distribution or use of a medicine, including under a risk evaluation and mitigation strategy (“REMS”) program;</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fines, receipt of warning or untitled letters or suspension of clinical trials;</w:t>
      </w:r>
    </w:p>
    <w:p>
      <w:pPr>
        <w:spacing w:after="0" w:line="117" w:lineRule="exact"/>
        <w:rPr>
          <w:rFonts w:ascii="Arial" w:cs="Arial" w:eastAsia="Arial" w:hAnsi="Arial"/>
          <w:sz w:val="17"/>
          <w:szCs w:val="17"/>
          <w:color w:val="auto"/>
        </w:rPr>
      </w:pPr>
    </w:p>
    <w:p>
      <w:pPr>
        <w:ind w:left="640" w:right="260" w:hanging="166"/>
        <w:spacing w:after="0" w:line="298" w:lineRule="auto"/>
        <w:tabs>
          <w:tab w:leader="none" w:pos="6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withdrawal of marketing approvals;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our product candidates;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2" w:lineRule="exact"/>
        <w:rPr>
          <w:sz w:val="20"/>
          <w:szCs w:val="20"/>
          <w:color w:val="auto"/>
        </w:rPr>
      </w:pPr>
    </w:p>
    <w:p>
      <w:pPr>
        <w:ind w:right="60" w:firstLine="627"/>
        <w:spacing w:after="0" w:line="262" w:lineRule="auto"/>
        <w:rPr>
          <w:sz w:val="20"/>
          <w:szCs w:val="20"/>
          <w:color w:val="auto"/>
        </w:rPr>
      </w:pPr>
      <w:r>
        <w:rPr>
          <w:rFonts w:ascii="Arial" w:cs="Arial" w:eastAsia="Arial" w:hAnsi="Arial"/>
          <w:sz w:val="17"/>
          <w:szCs w:val="17"/>
          <w:color w:val="auto"/>
        </w:rPr>
        <w:t>Additionally, the FDA and other regulatory agencies closely regulate the post-approval marketing and promotion of medicines to ensure that they are marketed only for the approved indications and in accordance with the provisions of the approved labeling. Although physicians may prescribe products for uses not described in the product’s labeling, known as off-label uses, in their professional medical judgment, the FDA and comparable foreign regulatory agencies impose stringent restrictions on manufacturers’ communications regarding off-label use, and if we market our products, if approved, in a manner inconsistent with their approved labeling, we may be subject to enforcement action for off-label marketing by the FDA and other federal and state enforcement agencies, including the Department of Justice and other comparable foreign regulatory agencies. Violation of the Federal Food, Drug, and Cosmetic Act and other statutes, including the False Claims Act, relating to the promotion and advertising of prescription products may also lead to investigations or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520"/>
        <w:spacing w:after="0" w:line="298" w:lineRule="auto"/>
        <w:rPr>
          <w:sz w:val="20"/>
          <w:szCs w:val="20"/>
          <w:color w:val="auto"/>
        </w:rPr>
      </w:pPr>
      <w:r>
        <w:rPr>
          <w:rFonts w:ascii="Arial" w:cs="Arial" w:eastAsia="Arial" w:hAnsi="Arial"/>
          <w:sz w:val="17"/>
          <w:szCs w:val="17"/>
          <w:color w:val="auto"/>
        </w:rPr>
        <w:t>allegations of violations of federal and state healthcare fraud and abuse laws, state consumer protection laws and laws of other comparable foreign regulatory agencies.</w:t>
      </w:r>
    </w:p>
    <w:p>
      <w:pPr>
        <w:spacing w:after="0" w:line="141" w:lineRule="exact"/>
        <w:rPr>
          <w:sz w:val="20"/>
          <w:szCs w:val="20"/>
          <w:color w:val="auto"/>
        </w:rPr>
      </w:pPr>
    </w:p>
    <w:p>
      <w:pPr>
        <w:ind w:right="40" w:firstLine="627"/>
        <w:spacing w:after="0" w:line="277"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spacing w:after="0" w:line="26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we experience delays or difficulties in the enrollment and/or retention of patients in clinical trials, our clinical development activities could be delayed or otherwise adversely affected, and our receipt of necessary regulatory approvals could be delayed or prevented.</w:t>
      </w:r>
    </w:p>
    <w:p>
      <w:pPr>
        <w:spacing w:after="0" w:line="20" w:lineRule="exact"/>
        <w:rPr>
          <w:sz w:val="20"/>
          <w:szCs w:val="20"/>
          <w:color w:val="auto"/>
        </w:rPr>
      </w:pPr>
    </w:p>
    <w:p>
      <w:pPr>
        <w:jc w:val="both"/>
        <w:ind w:right="20" w:firstLine="627"/>
        <w:spacing w:after="0" w:line="262" w:lineRule="auto"/>
        <w:rPr>
          <w:sz w:val="20"/>
          <w:szCs w:val="20"/>
          <w:color w:val="auto"/>
        </w:rPr>
      </w:pPr>
      <w:r>
        <w:rPr>
          <w:rFonts w:ascii="Arial" w:cs="Arial" w:eastAsia="Arial" w:hAnsi="Arial"/>
          <w:sz w:val="17"/>
          <w:szCs w:val="17"/>
          <w:color w:val="auto"/>
        </w:rPr>
        <w:t>Successful and timely completion of clinical trials will require that we identify and enroll a sufficient number of patients. Patient enrollment, a significant factor in the timing of clinical trials, is affected by many factors, including the size and nature of the patient population and competition for patients with other trials. Trials may be subject to delays as a result of patient enrollment taking longer than anticipated or patient withdrawal.</w:t>
      </w:r>
    </w:p>
    <w:p>
      <w:pPr>
        <w:spacing w:after="0" w:line="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if a large number of patients withdraw. We cannot predict how successful we will be at enrolling subjects in our clinical trials. We may conduct clinical trials that would require patients to discontinue standard of care therapy, and we may experience challenges finding, enrolling and retaining CF patients who are willing to discontinue their current treatment regimens to participate in such trials. For example, AbbVie previously terminated part of a Phase 2 trial that was intended to evaluate multiple doses of SION-3067 in combination with a fixed dose of SION-2222 because this part was deemed not enrollable due to, among other reasons, the increasing availability of the standard of care for CF. Subject enrollment is affected by other factors including:</w:t>
      </w:r>
    </w:p>
    <w:p>
      <w:pPr>
        <w:spacing w:after="0" w:line="283" w:lineRule="exact"/>
        <w:rPr>
          <w:sz w:val="20"/>
          <w:szCs w:val="20"/>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patient eligibility criteria as defined in the applicable protocol;</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size of the patient population required for analysis of the trial’s primary endpoints and the process for identifying patients;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actual and perceived risks and benefits of the product candidate in the trial;</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7" w:lineRule="exact"/>
        <w:rPr>
          <w:rFonts w:ascii="Arial" w:cs="Arial" w:eastAsia="Arial" w:hAnsi="Arial"/>
          <w:sz w:val="17"/>
          <w:szCs w:val="17"/>
          <w:color w:val="auto"/>
        </w:rPr>
      </w:pPr>
    </w:p>
    <w:p>
      <w:pPr>
        <w:ind w:left="640" w:right="40" w:hanging="166"/>
        <w:spacing w:after="0" w:line="270"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competing third-party clinical trials including trials conducted by Vertex Pharmaceuticals, Inc. ("Vertex"), enrolling currently or in the future, and clinicians’ and patients’ perceptions as to the potential advantages and risks of the third-party product candidate being studied in relation to other available therapies, including the standard of care, other therapies currently approved, or that may be approved in the future, for CF, or other investigational drugs in clinical development for CF;</w:t>
      </w:r>
    </w:p>
    <w:p>
      <w:pPr>
        <w:spacing w:after="0" w:line="60"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patients to be enrolled in our clinical trials;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success of efforts to facilitate timely enrollment in clinical trials;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obtain and maintain informed consent;</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risk that patients enrolled in our clinical trials will drop out of the trials prior to completion;</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cost to, or lack of adequate compensation for, prospective patients;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to prospective patients.</w:t>
      </w:r>
    </w:p>
    <w:p>
      <w:pPr>
        <w:spacing w:after="0" w:line="222"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00" w:firstLine="627"/>
        <w:spacing w:after="0" w:line="266" w:lineRule="auto"/>
        <w:rPr>
          <w:sz w:val="20"/>
          <w:szCs w:val="20"/>
          <w:color w:val="auto"/>
        </w:rPr>
      </w:pPr>
      <w:r>
        <w:rPr>
          <w:rFonts w:ascii="Arial" w:cs="Arial" w:eastAsia="Arial" w:hAnsi="Arial"/>
          <w:sz w:val="17"/>
          <w:szCs w:val="17"/>
          <w:color w:val="auto"/>
        </w:rPr>
        <w:t>Furthermore, we expect to rely on CROs and clinical trial sites to ensure the proper and timely conduct of our clinical trials and we will have limited influence over their performance. Even if we are able to enroll a sufficient number of patients for our clinical trials, we may have difficulty maintaining enrollment of such patients. We cannot assure you that our assumptions used in determining expected clinical trial timelines are correct or that we will not experience delays or difficulties in enrollment, or be required by the FDA or comparable foreign regulatory authorities to increase our enrollment, which would result in the delay of completion of such trials beyond our expected timelines.</w:t>
      </w:r>
    </w:p>
    <w:p>
      <w:pPr>
        <w:spacing w:after="0" w:line="27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The results of clinical trials conducted at clinical trial sites outside the U.S. might not be accepted by the FDA, and data developed outside of a foreign jurisdiction similarly might not be accepted by such foreign regulatory authority.</w:t>
      </w:r>
    </w:p>
    <w:p>
      <w:pPr>
        <w:spacing w:after="0" w:line="20" w:lineRule="exact"/>
        <w:rPr>
          <w:sz w:val="20"/>
          <w:szCs w:val="20"/>
          <w:color w:val="auto"/>
        </w:rPr>
      </w:pPr>
    </w:p>
    <w:p>
      <w:pPr>
        <w:ind w:firstLine="627"/>
        <w:spacing w:after="0" w:line="258" w:lineRule="auto"/>
        <w:rPr>
          <w:sz w:val="20"/>
          <w:szCs w:val="20"/>
          <w:color w:val="auto"/>
        </w:rPr>
      </w:pPr>
      <w:r>
        <w:rPr>
          <w:rFonts w:ascii="Arial" w:cs="Arial" w:eastAsia="Arial" w:hAnsi="Arial"/>
          <w:sz w:val="17"/>
          <w:szCs w:val="17"/>
          <w:color w:val="auto"/>
        </w:rPr>
        <w:t>We have conducted and are currently conducting certain of our clinical trials in Australia, and we plan to conduct additional clinical trials outside of the U.S. in the future. Clinical trials conducted in Australia using “unapproved therapeutic goods,” or those that have not yet been evaluated by the Therapeutic Goods Association (“TGA”) for quality, safety and efficacy, must occur pursuant to either the Clinical Trial Notification Scheme or the Clinical Trial Approval Scheme. In each case, the trial is supervised by a Human Research Ethics Committee (“HREC”), an independent review committee set up under the guidelines of the Australian National Health and Medical Research Council that reviews, approves and provides continuing oversight of trial protocols and amendments, and of the methods and material to be used in obtaining and documenting informed consent of the trial subjects. Although the FDA or comparable foreign regulatory authorities may accept data from clinical trials conducted outside the relevant jurisdiction, acceptance of these data is subject to certain conditions. For example, the FDA requires that the clinical trial must be well-designed and conducted and performed by qualified investigators in accordance with ethical principles such as institutional review board or ethics committee approval and informed consent, the trial population must adequately represent the U.S. population and the data must be applicable to the U.S. population and U.S. medical practice in ways that the FDA deems clinically meaningful. Further, the FDA may consider an on-site inspection to be necessary in which case they must be able to validate the data through such an inspection or other appropriate means. In addition, while these clinical trials are subject to the applicable local laws, acceptance of the data by the FDA will be dependent upon its determination that the trials were conducted consistent with all applicable U.S. laws and regulations. There can be no assurance that the FDA will accept data from trials conducted outside of the U.S. as adequate support of a marketing application. Additionally, recent policy proposals in the U.S., if enacted in the future, may make acceptance by the FDA or inclusion of foreign data in a U.S. marketing application more difficult or costly. Similarly, any data submitted to foreign regulatory authorities may not adhere to their standards and requirements for clinical trials and data from trials conducted outside of such jurisdiction may not be accepted.</w:t>
      </w:r>
    </w:p>
    <w:p>
      <w:pPr>
        <w:spacing w:after="0" w:line="186" w:lineRule="exact"/>
        <w:rPr>
          <w:sz w:val="20"/>
          <w:szCs w:val="20"/>
          <w:color w:val="auto"/>
        </w:rPr>
      </w:pPr>
    </w:p>
    <w:p>
      <w:pPr>
        <w:ind w:right="60" w:firstLine="627"/>
        <w:spacing w:after="0" w:line="270" w:lineRule="auto"/>
        <w:rPr>
          <w:sz w:val="20"/>
          <w:szCs w:val="20"/>
          <w:color w:val="auto"/>
        </w:rPr>
      </w:pPr>
      <w:r>
        <w:rPr>
          <w:rFonts w:ascii="Arial" w:cs="Arial" w:eastAsia="Arial" w:hAnsi="Arial"/>
          <w:sz w:val="17"/>
          <w:szCs w:val="17"/>
          <w:color w:val="auto"/>
        </w:rPr>
        <w:t>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In addition, such foreign trials would be subject to the applicable local laws of the foreign jurisdictions where the trials are conducted, which may increase costs or time required to complete the clinical trial.</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Conducting clinical trials outside the U.S. also exposes us to additional risks, including risks associated with:</w:t>
      </w:r>
    </w:p>
    <w:p>
      <w:pPr>
        <w:spacing w:after="0" w:line="118" w:lineRule="exact"/>
        <w:rPr>
          <w:sz w:val="20"/>
          <w:szCs w:val="20"/>
          <w:color w:val="auto"/>
        </w:rPr>
      </w:pPr>
    </w:p>
    <w:p>
      <w:pPr>
        <w:ind w:left="640" w:right="40" w:hanging="166"/>
        <w:spacing w:after="0" w:line="298" w:lineRule="auto"/>
        <w:tabs>
          <w:tab w:leader="none" w:pos="6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additional foreign regulatory requirements including with respect to data privacy and security, which may impose heightened requirements and data transfer restrictions;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foreign exchange fluctuations;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compliance with foreign manufacturing, customs, shipment and storage requirements;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inconsistent standards for reporting and evaluating clinical data and AEs;</w:t>
      </w:r>
    </w:p>
    <w:p>
      <w:pPr>
        <w:spacing w:after="0" w:line="117" w:lineRule="exact"/>
        <w:rPr>
          <w:rFonts w:ascii="Arial" w:cs="Arial" w:eastAsia="Arial" w:hAnsi="Arial"/>
          <w:sz w:val="17"/>
          <w:szCs w:val="17"/>
          <w:color w:val="auto"/>
        </w:rPr>
      </w:pPr>
    </w:p>
    <w:p>
      <w:pPr>
        <w:ind w:left="640" w:right="320" w:hanging="166"/>
        <w:spacing w:after="0" w:line="298" w:lineRule="auto"/>
        <w:tabs>
          <w:tab w:leader="none" w:pos="6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varying standards or availability of CF care, resulting in data that may differ from patients who have received the U.S. standard of care therapy;</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pandemic, epidemic or public health emergencies;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diminished protection of intellectual property in some countries; and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right="180" w:hanging="166"/>
        <w:spacing w:after="0" w:line="298" w:lineRule="auto"/>
        <w:tabs>
          <w:tab w:leader="none" w:pos="6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political instability, civil unrest, war or similar events that may jeopardize our ability to commence, conduct or complete a clinical trial and evaluate resulting data.</w:t>
      </w:r>
    </w:p>
    <w:p>
      <w:pPr>
        <w:spacing w:after="0" w:line="24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20"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In order to produce sufficient quantities to meet the demand for clinical trials and, if approved, subsequent commercialization of our product candidates, our third-party manufacturers will be required to produce adequate quantities of our product candidates and meet required timelines. Further, as we seek to scale-up our manufacturing processes,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methods of product candidate manufacturing or formulation may result in additional costs or delay.</w:t>
      </w:r>
    </w:p>
    <w:p>
      <w:pPr>
        <w:spacing w:after="0" w:line="118" w:lineRule="exact"/>
        <w:rPr>
          <w:sz w:val="20"/>
          <w:szCs w:val="20"/>
          <w:color w:val="auto"/>
        </w:rPr>
      </w:pPr>
    </w:p>
    <w:p>
      <w:pPr>
        <w:ind w:right="20" w:firstLine="627"/>
        <w:spacing w:after="0" w:line="262" w:lineRule="auto"/>
        <w:rPr>
          <w:sz w:val="20"/>
          <w:szCs w:val="20"/>
          <w:color w:val="auto"/>
        </w:rPr>
      </w:pPr>
      <w:r>
        <w:rPr>
          <w:rFonts w:ascii="Arial" w:cs="Arial" w:eastAsia="Arial" w:hAnsi="Arial"/>
          <w:sz w:val="17"/>
          <w:szCs w:val="17"/>
          <w:color w:val="auto"/>
        </w:rPr>
        <w:t>The manufacture of our product candidates is complex and requires significant expertise. As product candidates proceed through preclinical studies to late-stage clinical trials towards potential approval and commercialization, various aspects of the development program, such as manufacturing methods and formulation, may be altered in an effort to reduce costs or optimize processes and product characteristics, and such outcomes may not be achieved. Any of these changes could cause our product candidates to perform differently and affect the results of our current or future clinical trials. Such changes may also require additional testing, or notification to or approval by the FDA or another comparable regulatory authority.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00" w:lineRule="exact"/>
        <w:rPr>
          <w:sz w:val="20"/>
          <w:szCs w:val="20"/>
          <w:color w:val="auto"/>
        </w:rPr>
      </w:pPr>
    </w:p>
    <w:p>
      <w:pPr>
        <w:spacing w:after="0" w:line="29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Certain of our programs may compete with our other programs, which could negatively impact our business and reduce our future revenue.</w:t>
      </w:r>
    </w:p>
    <w:p>
      <w:pPr>
        <w:spacing w:after="0" w:line="20" w:lineRule="exact"/>
        <w:rPr>
          <w:sz w:val="20"/>
          <w:szCs w:val="20"/>
          <w:color w:val="auto"/>
        </w:rPr>
      </w:pPr>
    </w:p>
    <w:p>
      <w:pPr>
        <w:ind w:right="60" w:firstLine="627"/>
        <w:spacing w:after="0" w:line="264" w:lineRule="auto"/>
        <w:rPr>
          <w:sz w:val="20"/>
          <w:szCs w:val="20"/>
          <w:color w:val="auto"/>
        </w:rPr>
      </w:pPr>
      <w:r>
        <w:rPr>
          <w:rFonts w:ascii="Arial" w:cs="Arial" w:eastAsia="Arial" w:hAnsi="Arial"/>
          <w:sz w:val="17"/>
          <w:szCs w:val="17"/>
          <w:color w:val="auto"/>
        </w:rPr>
        <w:t>We are developing all of our product candidates for the same indication, CF, and we may develop additional product candidates for the same indication in the future. We have several programs targeting different regions of the CFTR protein, in order to support our goal of creating a differentiated combination treatment that delivers clinically meaningful benefit to CF patients. However, developing multiple programs for a single indication may negatively impact our business if the programs compete with each other. For example, if multiple programs are conducting clinical trials at the same time, they could compete for the enrollment of participants. In addition, if multiple product candidates are approved for the same indication, they may compete for market share, which could limit our future revenue.</w:t>
      </w:r>
    </w:p>
    <w:p>
      <w:pPr>
        <w:spacing w:after="0" w:line="27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Due to the significant resources required for the development of our pipeline, and depending on our ability to access capital, we must prioritize the development of certain product candidates over others. We may expend our limited resources to pursue a particular product candidate or indication and fail to capitalize on product candidates or indications that may be more profitable or for which there is a greater likelihood of success.</w:t>
      </w:r>
    </w:p>
    <w:p>
      <w:pPr>
        <w:spacing w:after="0" w:line="50"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Because we have limited financial and management resources, we are focused on a single indication, CF, and we focus our research and development efforts on certain selected development programs and product candidates. We are currently primarily focused on the development of SION-719 and SION-451, our NBD1 stabilizers, and our portfolio of complementary modulators. As a result, we may forego or delay pursuit of opportunities with other product candidates that later prove to have greater commercial potential. For instance, the development of a proprietary dual combination is our priority. Our resource allocation decisions may cause us to fail to capitalize on viable commercial products or profitable market opportunities. Our spending on current and future development programs and product candidates for specific indications may not yield 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commercially viable products. If we do not accurately evaluate the viability, commercial potential or target market for any of our current or future product candidates,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a product candidate through collaboration, licensing or other royalty arrangements in cases in which it would have been more advantageous for us to retain sole development and commercialization rights to such product candidate.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12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We are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from third parties or, in certain cases, we fail to meet certain development deadlines, we could lose license rights that are important to our business.</w:t>
      </w:r>
    </w:p>
    <w:p>
      <w:pPr>
        <w:spacing w:after="0" w:line="50"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We are a party to a number of license agreements under which we are granted rights to intellectual property that are important to our business and we expect that we may need to enter into additional license agreements in the future. In particular, we have entered into license agreements with Sanofi and AbbVie, pursuant to which, among other things, we have secured exclusive licenses for certain intellectual property and know-how relating to CFTR modulator therapies to commercialize certain compounds, patents and proprietary information and inventions. Our existing license agreements impose, and we expect that future license agreements will impose on us, various development, regulatory and/or commercial diligence obligations, payment of milestones and/or royalties and other obligations. If we fail to comply with our obligations under these agreements, or we are subject to a bankruptcy, the licensor may have the right to terminate the license, in which event we would not be able to market products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In particular, we are substantially dependent on the success of one of our NBD1 stabilizer product candidates, and to the extent we are unable to develop other product candidates at the time of such termination, it would have a material adverse effect on our business, financial condition, results of operations and prospects, including, but not limited to, cessation of our operations. See “</w:t>
      </w:r>
      <w:r>
        <w:rPr>
          <w:rFonts w:ascii="Arial" w:cs="Arial" w:eastAsia="Arial" w:hAnsi="Arial"/>
          <w:sz w:val="17"/>
          <w:szCs w:val="17"/>
          <w:i w:val="1"/>
          <w:iCs w:val="1"/>
          <w:color w:val="auto"/>
        </w:rPr>
        <w:t>Business—License and Collaboration Agreements</w:t>
      </w:r>
      <w:r>
        <w:rPr>
          <w:rFonts w:ascii="Arial" w:cs="Arial" w:eastAsia="Arial" w:hAnsi="Arial"/>
          <w:sz w:val="17"/>
          <w:szCs w:val="17"/>
          <w:color w:val="auto"/>
        </w:rPr>
        <w:t>” for a description of our license agreements.</w:t>
      </w:r>
    </w:p>
    <w:p>
      <w:pPr>
        <w:spacing w:after="0" w:line="182" w:lineRule="exact"/>
        <w:rPr>
          <w:sz w:val="20"/>
          <w:szCs w:val="20"/>
          <w:color w:val="auto"/>
        </w:rPr>
      </w:pPr>
    </w:p>
    <w:p>
      <w:pPr>
        <w:ind w:right="20" w:firstLine="627"/>
        <w:spacing w:after="0" w:line="262" w:lineRule="auto"/>
        <w:rPr>
          <w:sz w:val="20"/>
          <w:szCs w:val="20"/>
          <w:color w:val="auto"/>
        </w:rPr>
      </w:pPr>
      <w:r>
        <w:rPr>
          <w:rFonts w:ascii="Arial" w:cs="Arial" w:eastAsia="Arial" w:hAnsi="Arial"/>
          <w:sz w:val="17"/>
          <w:szCs w:val="17"/>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intellectual property licensed to us. In that event, we may be required to expend significant time and resources to develop or license replacement intellectual property.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Licensing of intellectual property is of critical importance to our business and involves complex legal, business and scientific issues.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Disputes may arise between us and our licensors regarding intellectual property subject to a license agreement, including:</w:t>
      </w:r>
    </w:p>
    <w:p>
      <w:pPr>
        <w:spacing w:after="0" w:line="102" w:lineRule="exact"/>
        <w:rPr>
          <w:sz w:val="20"/>
          <w:szCs w:val="20"/>
          <w:color w:val="auto"/>
        </w:rPr>
      </w:pPr>
    </w:p>
    <w:p>
      <w:pPr>
        <w:ind w:left="620" w:hanging="146"/>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7" w:lineRule="exact"/>
        <w:rPr>
          <w:rFonts w:ascii="Arial" w:cs="Arial" w:eastAsia="Arial" w:hAnsi="Arial"/>
          <w:sz w:val="17"/>
          <w:szCs w:val="17"/>
          <w:color w:val="auto"/>
        </w:rPr>
      </w:pPr>
    </w:p>
    <w:p>
      <w:pPr>
        <w:ind w:left="640" w:right="20" w:hanging="166"/>
        <w:spacing w:after="0" w:line="298" w:lineRule="auto"/>
        <w:tabs>
          <w:tab w:leader="none" w:pos="6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whether and the extent to which our product candidates and processes infringe on intellectual property of the licensor that is not subject to the licensing agreement;</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right to sublicense patent and other rights to third parties under collaborative development relationships;</w:t>
      </w:r>
    </w:p>
    <w:p>
      <w:pPr>
        <w:spacing w:after="0" w:line="117" w:lineRule="exact"/>
        <w:rPr>
          <w:rFonts w:ascii="Arial" w:cs="Arial" w:eastAsia="Arial" w:hAnsi="Arial"/>
          <w:sz w:val="17"/>
          <w:szCs w:val="17"/>
          <w:color w:val="auto"/>
        </w:rPr>
      </w:pPr>
    </w:p>
    <w:p>
      <w:pPr>
        <w:ind w:left="640" w:right="120" w:hanging="166"/>
        <w:spacing w:after="0" w:line="298" w:lineRule="auto"/>
        <w:tabs>
          <w:tab w:leader="none" w:pos="6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diligence obligations with respect to the use of the licensed intellectual property in relation to our development and commercialization of our product candidates, and what activities satisfy those diligence obligations;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right="140" w:hanging="166"/>
        <w:spacing w:after="0" w:line="298" w:lineRule="auto"/>
        <w:tabs>
          <w:tab w:leader="none" w:pos="6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licensors and us and our partners.</w:t>
      </w:r>
    </w:p>
    <w:p>
      <w:pPr>
        <w:spacing w:after="0" w:line="141" w:lineRule="exact"/>
        <w:rPr>
          <w:sz w:val="20"/>
          <w:szCs w:val="20"/>
          <w:color w:val="auto"/>
        </w:rPr>
      </w:pPr>
    </w:p>
    <w:p>
      <w:pPr>
        <w:ind w:right="120" w:firstLine="627"/>
        <w:spacing w:after="0" w:line="298"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46" w:lineRule="exact"/>
        <w:rPr>
          <w:sz w:val="20"/>
          <w:szCs w:val="20"/>
          <w:color w:val="auto"/>
        </w:rPr>
      </w:pPr>
    </w:p>
    <w:p>
      <w:pPr>
        <w:jc w:val="both"/>
        <w:ind w:right="180"/>
        <w:spacing w:after="0" w:line="282" w:lineRule="auto"/>
        <w:rPr>
          <w:sz w:val="20"/>
          <w:szCs w:val="20"/>
          <w:color w:val="auto"/>
        </w:rPr>
      </w:pPr>
      <w:r>
        <w:rPr>
          <w:rFonts w:ascii="Arial" w:cs="Arial" w:eastAsia="Arial" w:hAnsi="Arial"/>
          <w:sz w:val="17"/>
          <w:szCs w:val="17"/>
          <w:b w:val="1"/>
          <w:bCs w:val="1"/>
          <w:i w:val="1"/>
          <w:iCs w:val="1"/>
          <w:color w:val="auto"/>
        </w:rPr>
        <w:t>We currently rely on, and in the future intend to rely on, third parties to conduct a significant portion of our clinical trials and potential future clinical trials for product candidates, and those third parties may not perform satisfactorily, including failing to meet deadlines for the completion of such trials.</w:t>
      </w:r>
    </w:p>
    <w:p>
      <w:pPr>
        <w:spacing w:after="0" w:line="42" w:lineRule="exact"/>
        <w:rPr>
          <w:sz w:val="20"/>
          <w:szCs w:val="20"/>
          <w:color w:val="auto"/>
        </w:rPr>
      </w:pPr>
    </w:p>
    <w:p>
      <w:pPr>
        <w:ind w:right="60" w:firstLine="627"/>
        <w:spacing w:after="0" w:line="261" w:lineRule="auto"/>
        <w:rPr>
          <w:sz w:val="20"/>
          <w:szCs w:val="20"/>
          <w:color w:val="auto"/>
        </w:rPr>
      </w:pPr>
      <w:r>
        <w:rPr>
          <w:rFonts w:ascii="Arial" w:cs="Arial" w:eastAsia="Arial" w:hAnsi="Arial"/>
          <w:sz w:val="17"/>
          <w:szCs w:val="17"/>
          <w:color w:val="auto"/>
        </w:rPr>
        <w:t>We currently engage CROs and other vendors to conduct our clinical trials, and similarly expect to engage CROs and other vendors for future clinical trials for our current and any future product candidates that we may progress to clinical development. We expect to continue to rely on third parties, including but not limited to clinical data management organizations, healthcare institutions operating as clinical sites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or other vendors involves substantial cost and requires management time and focus. In addition, there is a natural transition period when a new CRO or vendor commences work. As a result, delays may occur, which can materially impact our ability to meet our desired clinical development timelines. We may encounter challenges or delays in our CRO/vendor relationships in the future which may cause a material adverse impact on our business, financial condition and prospects.</w:t>
      </w:r>
    </w:p>
    <w:p>
      <w:pPr>
        <w:spacing w:after="0" w:line="17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In addition, any third parties conducting our clinical trials will not be our employees, and, except for including contractual obligations and remedies for breach of such obligations in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successfully commercialize our product candidates. Consequently, our results of operations and the commercial prospects for our product candidates would be harmed, our costs could increase substantially and our ability to generate revenue could be delayed significantly. In addition, many of the third parties with whom we contract may also have relationships with other commercial entities, including our competitors, for whom they may also be conducting clinical trials or other development activities that could harm our competitive position.</w:t>
      </w:r>
    </w:p>
    <w:p>
      <w:pPr>
        <w:spacing w:after="0" w:line="384"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We rely on these parties for execution of our preclinical studies and clinical trials, and generally do not directly control their businesses or related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or comparable foreign regulatory authorities may require us to perform additional clinical trials before approving our marketing applications. Further, upon inspection by a given regulatory authority, such regulatory authority may not agree with our determination that any of our clinical trials complies with GCP requirements. In addition, our clinical trials must be conducted with product produced under cGMP conditions. Our failure to comply with these requirements may require us to repeat clinical trials, which would delay the regulatory approval process.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0" w:firstLine="627"/>
        <w:spacing w:after="0" w:line="277" w:lineRule="auto"/>
        <w:rPr>
          <w:sz w:val="20"/>
          <w:szCs w:val="20"/>
          <w:color w:val="auto"/>
        </w:rPr>
      </w:pPr>
      <w:r>
        <w:rPr>
          <w:rFonts w:ascii="Arial" w:cs="Arial" w:eastAsia="Arial" w:hAnsi="Arial"/>
          <w:sz w:val="17"/>
          <w:szCs w:val="17"/>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6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clinical drug supply and expect to continue to do so for commercialization, if our product candidates are approved. This reliance on third parties increases the risk that we will not have sufficient quantities of our product candidates or obtain such quantities at an acceptable cost or quality, which could delay, prevent or impair our development or commercialization efforts.</w:t>
      </w:r>
    </w:p>
    <w:p>
      <w:pPr>
        <w:spacing w:after="0" w:line="50" w:lineRule="exact"/>
        <w:rPr>
          <w:sz w:val="20"/>
          <w:szCs w:val="20"/>
          <w:color w:val="auto"/>
        </w:rPr>
      </w:pPr>
    </w:p>
    <w:p>
      <w:pPr>
        <w:ind w:right="60" w:firstLine="627"/>
        <w:spacing w:after="0" w:line="260" w:lineRule="auto"/>
        <w:rPr>
          <w:sz w:val="20"/>
          <w:szCs w:val="20"/>
          <w:color w:val="auto"/>
        </w:rPr>
      </w:pPr>
      <w:r>
        <w:rPr>
          <w:rFonts w:ascii="Arial" w:cs="Arial" w:eastAsia="Arial" w:hAnsi="Arial"/>
          <w:sz w:val="17"/>
          <w:szCs w:val="17"/>
          <w:color w:val="auto"/>
        </w:rPr>
        <w:t>We do not have any cGMP manufacturing facilities and have no plans to develop our own clinical or commercial -scale manufacturing capabilities. We currently rely, and expect to continue to rely, on contract development and manufacturing organizations (“CDMOs”) for the cGMP manufacture of our product candidates and related raw materials for clinical development. In addition, we expect to rely on CDMOs for the commercial supply of any products for which we receive marketing approval. This reliance increases the risk that we will not have sufficient quantities of our product candidates or products, if approved, or obtain such quantities at an acceptable cost or quality, which could delay, prevent or impair our development or commercialization efforts. For example, any of these third parties may terminate their engagements with us at any time or may face production shortages or other supply interruptions or otherwise be unable to secure the requisite raw materials to support our planned clinical activities. In addition, the availability of CDMOs to manufacture our product candidates/drugs may depend in part on the CDMOs’ schedules for manufacturing other companies’ products or product candidates. If we need to modify our development plans or enter into alternative arrangements, which may not be readily available or available on acceptable terms, it could delay our product development activities and increase our expenses.</w:t>
      </w:r>
    </w:p>
    <w:p>
      <w:pPr>
        <w:spacing w:after="0" w:line="177"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Our reliance on CDMOs for manufacturing activities reduces our control over these activities, but does not relieve us of our responsibility to ensure compliance with all required regulations. In particular, we do not have control over a supplier’s or manufacturer’s compliance with laws, regulations and applicable cGMP standards or similar regulatory requirements and other laws and regulations, such as those related to environmental health and safety matters. If our CDMOs cannot successfully manufacture material that conforms to our specifications and the strict regulatory requirements of the FDA or comparable foreign regulatory authorities, we may be unable to obtain regulatory approval of our potential future marketing applications. In addition, although we conduct routine qualification audits and have quality agreements in place with our CDMOs, we have no direct operational control over their ability to maintain adequate quality control, quality assurance and qualified personnel. Our CDMOs may face manufacturing or quality control problems causing production and shipment delays, or CDMOs may fail to maintain compliance with the applicable cGMP requirements. The facilities used by our CDMOs are subject to continual review and periodic inspections by the FDA and comparable foreign regulatory authorities.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spacing w:after="0" w:line="175" w:lineRule="exact"/>
        <w:rPr>
          <w:sz w:val="20"/>
          <w:szCs w:val="20"/>
          <w:color w:val="auto"/>
        </w:rPr>
      </w:pPr>
    </w:p>
    <w:p>
      <w:pPr>
        <w:ind w:right="40" w:firstLine="627"/>
        <w:spacing w:after="0" w:line="262" w:lineRule="auto"/>
        <w:rPr>
          <w:sz w:val="20"/>
          <w:szCs w:val="20"/>
          <w:color w:val="auto"/>
        </w:rPr>
      </w:pPr>
      <w:r>
        <w:rPr>
          <w:rFonts w:ascii="Arial" w:cs="Arial" w:eastAsia="Arial" w:hAnsi="Arial"/>
          <w:sz w:val="17"/>
          <w:szCs w:val="17"/>
          <w:color w:val="auto"/>
        </w:rPr>
        <w:t>Our use of foreign CROs and CDMOs in some jurisdictions may be or may become subject to U.S. legislation, sanctions, tariffs, trade restrictions and/or other regulatory requirements, which may increase the cost of and cause delays in the procurement or supply of materials for, or manufacture of, our product candidates or have an adverse effect on our ability to secure significant commitments from governments to purchase our potential therapies. For example, legislation recently signed into law, known as the BIOSECURE Act, implements a prohibition on U.S. government contracts, grants, and loans from being used towards biotechnology equipment and services produced or provided by certain identified Chinese biotechnology companies and authorizes the U.S. government to name additional Chinese biotechnology companies of concern. By December 18, 2026, the Director of the Office of Management and Budget ("OMB") will publish a full list of "biotechnology companies of concern" based on recommendations from key federal Secretaries and</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Directors, including Defense, Justice, HHS, Commerce, National Intelligence, Homeland Security, State, and National Cyber. The Director of OMB will thereafter review and update that list at least annually, based on recommendations from those key federal Secretaries and Directors. We have an agreement with a Chinese biotechnology company, pursuant to which it may manufacture certain of our clinical trial materials from time to time. This Chinese company was initially identified as a "biotechnology company of concern" in an earlier proposed version of the BIOSECURE Act, but that legislation did not pass, and the company is not named in the final law; however, it could be added in the future. The BIOSECURE Act has the potential to severely restrict the ability of companies, including us, to work with certain Chinese biotechnology companies of concern without losing the ability to contract with, or otherwise receive funding from, the U.S. government. Additionally, our use of foreign CROs and CDMOs, including those located in China, may be subject to unanticipated changes in the geopolitical landscape that could have negative impacts on our business operations.</w:t>
      </w:r>
    </w:p>
    <w:p>
      <w:pPr>
        <w:spacing w:after="0" w:line="175"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not known and depend on various factors, such as negotiations between the U.S. and affected countries, their respective responses, potential exemptions or exclusions, and availability and cost of alternative sources of supply.</w:t>
      </w:r>
    </w:p>
    <w:p>
      <w:pPr>
        <w:spacing w:after="0" w:line="1"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Supply chain disruptions and delays could also negatively impact our cost of materials and production processes. If we are unable to obtain necessary materials in sufficient quantity and in a timely manner, the development of our product candidates may be delayed, which could significantly harm our business.</w:t>
      </w:r>
    </w:p>
    <w:p>
      <w:pPr>
        <w:spacing w:after="0" w:line="167" w:lineRule="exact"/>
        <w:rPr>
          <w:sz w:val="20"/>
          <w:szCs w:val="20"/>
          <w:color w:val="auto"/>
        </w:rPr>
      </w:pPr>
    </w:p>
    <w:p>
      <w:pPr>
        <w:ind w:right="40" w:firstLine="627"/>
        <w:spacing w:after="0" w:line="266" w:lineRule="auto"/>
        <w:rPr>
          <w:sz w:val="20"/>
          <w:szCs w:val="20"/>
          <w:color w:val="auto"/>
        </w:rPr>
      </w:pPr>
      <w:r>
        <w:rPr>
          <w:rFonts w:ascii="Arial" w:cs="Arial" w:eastAsia="Arial" w:hAnsi="Arial"/>
          <w:sz w:val="17"/>
          <w:szCs w:val="17"/>
          <w:color w:val="auto"/>
        </w:rPr>
        <w:t>Further, any performance failure on the part of our existing or future manufacturers could delay clinical development or marketing approval. If our current CDMOs cannot perform as agreed, we may be required to replace such manufacturers. We may incur added costs and delays in identifying and qualifying any such replacement. In addition, our current and anticipated dependence upon others for the manufacture of our product candidates may adversely affect our future profit margins and our ability to commercialize any products that receive marketing approval on a timely and competitive basis.</w:t>
      </w:r>
    </w:p>
    <w:p>
      <w:pPr>
        <w:spacing w:after="0" w:line="27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b w:val="1"/>
          <w:bCs w:val="1"/>
          <w:i w:val="1"/>
          <w:iCs w:val="1"/>
          <w:color w:val="auto"/>
        </w:rPr>
        <w:t>We may seek to establish collaborations, license agreements and other similar arrangements with third parties for the development or commercialization of our product candidates. If we are not able to establish them on commercially reasonable terms, or if those arrangements are not successful, we may have to alter our development and commercialization plans.</w:t>
      </w:r>
    </w:p>
    <w:p>
      <w:pPr>
        <w:spacing w:after="0" w:line="42"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The development and potential commercialization of our product candidates will require substantial additional funding. For some of our product candidates, we may seek to collaborate with other pharmaceutical and biotechnology companies for the development and potential commercialization of our product candidates, including for the commercialization of any of our product candidates that are approved for marketing outside the U.S. If we enter into any such additional arrangements with any third parties, we will likely have limited control over the amount and timing of resources that our future collaborators dedicate to the development or commercialization of our product candidates. Collaboration agreements may not lead to development or commercialization of product candidates in the most efficient manner or at all.</w:t>
      </w:r>
    </w:p>
    <w:p>
      <w:pPr>
        <w:spacing w:after="0" w:line="172" w:lineRule="exact"/>
        <w:rPr>
          <w:sz w:val="20"/>
          <w:szCs w:val="20"/>
          <w:color w:val="auto"/>
        </w:rPr>
      </w:pPr>
    </w:p>
    <w:p>
      <w:pPr>
        <w:ind w:right="120" w:firstLine="627"/>
        <w:spacing w:after="0" w:line="261" w:lineRule="auto"/>
        <w:rPr>
          <w:sz w:val="20"/>
          <w:szCs w:val="20"/>
          <w:color w:val="auto"/>
        </w:rPr>
      </w:pPr>
      <w:r>
        <w:rPr>
          <w:rFonts w:ascii="Arial" w:cs="Arial" w:eastAsia="Arial" w:hAnsi="Arial"/>
          <w:sz w:val="17"/>
          <w:szCs w:val="17"/>
          <w:color w:val="auto"/>
        </w:rPr>
        <w:t>We face significant competition in seeking appropriate collaborators, and the negotiation process is time-consuming and complex.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the design or results of clinical trials, the likelihood of approval by the FDA or comparable foreign regulatory authorities outside the U.S., the potential market for the subject product candidate, the costs and complexities of manufacturing and delivering such product candidate to patients, and industry and market conditions generally. The collaborator may also consider alternative product candidates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Collaborations involving our product candidates would pose the following risks to us:</w:t>
      </w:r>
    </w:p>
    <w:p>
      <w:pPr>
        <w:spacing w:after="0" w:line="118" w:lineRule="exact"/>
        <w:rPr>
          <w:sz w:val="20"/>
          <w:szCs w:val="20"/>
          <w:color w:val="auto"/>
        </w:rPr>
      </w:pPr>
    </w:p>
    <w:p>
      <w:pPr>
        <w:ind w:left="620" w:hanging="146"/>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 or at all;</w:t>
      </w:r>
    </w:p>
    <w:p>
      <w:pPr>
        <w:spacing w:after="0" w:line="117" w:lineRule="exact"/>
        <w:rPr>
          <w:rFonts w:ascii="Arial" w:cs="Arial" w:eastAsia="Arial" w:hAnsi="Arial"/>
          <w:sz w:val="17"/>
          <w:szCs w:val="17"/>
          <w:color w:val="auto"/>
        </w:rPr>
      </w:pPr>
    </w:p>
    <w:p>
      <w:pPr>
        <w:ind w:left="640" w:right="280" w:hanging="166"/>
        <w:spacing w:after="0" w:line="277"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4" w:lineRule="exact"/>
        <w:rPr>
          <w:rFonts w:ascii="Arial" w:cs="Arial" w:eastAsia="Arial" w:hAnsi="Arial"/>
          <w:sz w:val="17"/>
          <w:szCs w:val="17"/>
          <w:color w:val="auto"/>
        </w:rPr>
      </w:pPr>
    </w:p>
    <w:p>
      <w:pPr>
        <w:ind w:left="640" w:right="440" w:hanging="166"/>
        <w:spacing w:after="0" w:line="298"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6" w:lineRule="exact"/>
        <w:rPr>
          <w:rFonts w:ascii="Arial" w:cs="Arial" w:eastAsia="Arial" w:hAnsi="Arial"/>
          <w:sz w:val="17"/>
          <w:szCs w:val="17"/>
          <w:color w:val="auto"/>
        </w:rPr>
      </w:pPr>
    </w:p>
    <w:p>
      <w:pPr>
        <w:ind w:left="640" w:right="200" w:hanging="166"/>
        <w:spacing w:after="0" w:line="277"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54" w:lineRule="exact"/>
        <w:rPr>
          <w:rFonts w:ascii="Arial" w:cs="Arial" w:eastAsia="Arial" w:hAnsi="Arial"/>
          <w:sz w:val="17"/>
          <w:szCs w:val="17"/>
          <w:color w:val="auto"/>
        </w:rPr>
      </w:pPr>
    </w:p>
    <w:p>
      <w:pPr>
        <w:ind w:left="640" w:right="260" w:hanging="166"/>
        <w:spacing w:after="0" w:line="298"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such products;</w:t>
      </w:r>
    </w:p>
    <w:p>
      <w:pPr>
        <w:spacing w:after="0" w:line="36" w:lineRule="exact"/>
        <w:rPr>
          <w:rFonts w:ascii="Arial" w:cs="Arial" w:eastAsia="Arial" w:hAnsi="Arial"/>
          <w:sz w:val="17"/>
          <w:szCs w:val="17"/>
          <w:color w:val="auto"/>
        </w:rPr>
      </w:pPr>
    </w:p>
    <w:p>
      <w:pPr>
        <w:ind w:left="640" w:right="120" w:hanging="166"/>
        <w:spacing w:after="0" w:line="270"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0" w:lineRule="exact"/>
        <w:rPr>
          <w:rFonts w:ascii="Arial" w:cs="Arial" w:eastAsia="Arial" w:hAnsi="Arial"/>
          <w:sz w:val="17"/>
          <w:szCs w:val="17"/>
          <w:color w:val="auto"/>
        </w:rPr>
      </w:pPr>
    </w:p>
    <w:p>
      <w:pPr>
        <w:ind w:left="640" w:right="60" w:hanging="166"/>
        <w:spacing w:after="0" w:line="277"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54" w:lineRule="exact"/>
        <w:rPr>
          <w:rFonts w:ascii="Arial" w:cs="Arial" w:eastAsia="Arial" w:hAnsi="Arial"/>
          <w:sz w:val="17"/>
          <w:szCs w:val="17"/>
          <w:color w:val="auto"/>
        </w:rPr>
      </w:pPr>
    </w:p>
    <w:p>
      <w:pPr>
        <w:ind w:left="620" w:hanging="146"/>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17" w:lineRule="exact"/>
        <w:rPr>
          <w:rFonts w:ascii="Arial" w:cs="Arial" w:eastAsia="Arial" w:hAnsi="Arial"/>
          <w:sz w:val="17"/>
          <w:szCs w:val="17"/>
          <w:color w:val="auto"/>
        </w:rPr>
      </w:pPr>
    </w:p>
    <w:p>
      <w:pPr>
        <w:ind w:left="640" w:right="500" w:hanging="166"/>
        <w:spacing w:after="0" w:line="298"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collaborations may be terminated, including for the convenience of the collaborator and, if terminated, we could be required to raise additional capital to pursue further development or commercialization of the applicable product candidates.</w:t>
      </w:r>
    </w:p>
    <w:p>
      <w:pPr>
        <w:spacing w:after="0" w:line="141" w:lineRule="exact"/>
        <w:rPr>
          <w:sz w:val="20"/>
          <w:szCs w:val="20"/>
          <w:color w:val="auto"/>
        </w:rPr>
      </w:pPr>
    </w:p>
    <w:p>
      <w:pPr>
        <w:ind w:right="40" w:firstLine="627"/>
        <w:spacing w:after="0" w:line="262" w:lineRule="auto"/>
        <w:rPr>
          <w:sz w:val="20"/>
          <w:szCs w:val="20"/>
          <w:color w:val="auto"/>
        </w:rPr>
      </w:pPr>
      <w:r>
        <w:rPr>
          <w:rFonts w:ascii="Arial" w:cs="Arial" w:eastAsia="Arial" w:hAnsi="Arial"/>
          <w:sz w:val="17"/>
          <w:szCs w:val="17"/>
          <w:color w:val="auto"/>
        </w:rPr>
        <w:t>We may not be able to negotiate future collaborations on a timely basis, on acceptable terms, or at all. If we are unable to do so, we may have to curtail the development of any product candidate that we planned to collaborate 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which could have a material adverse effect on our business, financial condition, results of operations and prospects.</w:t>
      </w:r>
    </w:p>
    <w:p>
      <w:pPr>
        <w:spacing w:after="0" w:line="386"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future collaboration arrangements will depend heavily on the efforts and activities of our future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If conflicts arise between any future collaborators and us, the other party may act in a manner adverse to us and could limit our ability to implement our strategies. For example, our future collaborators could conduct multiple product development efforts and could develop, either alone or with others, products in related fields that are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competitive with the product candidates we may develop. In addition, collaborations with pharmaceutical or biotechnology companies and other third parties often are terminated or allowed to expire by the other party, and any such termination or expiration may adversely affect us financially or harm our business.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2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If we or our licensors are unable to obtain, maintain and enforce intellectual property rights relating to any of our product candidates, or if the scope of the protection obtained is not sufficiently broad, our competitors or other third parties could develop and commercialize products similar or identical to ours, our ability to successfully commercialize our product candidates may be adversely affected and we may not be able to compete effectively in our markets.</w:t>
      </w:r>
    </w:p>
    <w:p>
      <w:pPr>
        <w:spacing w:after="0" w:line="50"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We rely upon a combination of patents, access to certain third-party trade secrets and confidentiality agreements to protect the intellectual property related to our product candidates. These legal measures afford only limited protection, and competitors or others may gain access to or use our intellectual property and proprietary information. Our success depends in large part on our ability to obtain and maintain patent and other intellectual property protection in the U.S. and in other countries with respect to our proprietary product candidates.</w:t>
      </w:r>
    </w:p>
    <w:p>
      <w:pPr>
        <w:spacing w:after="0" w:line="165" w:lineRule="exact"/>
        <w:rPr>
          <w:sz w:val="20"/>
          <w:szCs w:val="20"/>
          <w:color w:val="auto"/>
        </w:rPr>
      </w:pPr>
    </w:p>
    <w:p>
      <w:pPr>
        <w:ind w:right="20" w:firstLine="627"/>
        <w:spacing w:after="0" w:line="261" w:lineRule="auto"/>
        <w:rPr>
          <w:sz w:val="20"/>
          <w:szCs w:val="20"/>
          <w:color w:val="auto"/>
        </w:rPr>
      </w:pPr>
      <w:r>
        <w:rPr>
          <w:rFonts w:ascii="Arial" w:cs="Arial" w:eastAsia="Arial" w:hAnsi="Arial"/>
          <w:sz w:val="17"/>
          <w:szCs w:val="17"/>
          <w:color w:val="auto"/>
        </w:rPr>
        <w:t>We cannot predict whether the patent applications we currently or may in the future pursue will issue as patents in any particular jurisdiction or will provide sufficient protection against competitors or other third parties. Currently, much of our patent portfolio, including the applications related to our NBD1 product candidates, are in various stages of the patent prosecution process. Nor can we predict the outcome of any challenge by our competitors to the validity or enforceability of any such patents. We cannot offer any assurances that the breadth of our granted patents will be sufficient to stop a competitor from developing and commercializing a product, including a generic product that would be competitive with one or more of our product candidates. Furthermore, any successful challenge to these patents or any other patents owned by or licensed to us after patent issuance could deprive us of the competitive advantage necessary for the successful commercialization of any of our product candidates. Further, if we encounter delays in regulatory approval, the period of time during which we could market a product candidate under patent protection could be reduced (unless we obtain a patent term extension corresponding to such delays).</w:t>
      </w:r>
    </w:p>
    <w:p>
      <w:pPr>
        <w:spacing w:after="0" w:line="175"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Our ability to obtain and maintain valid and enforceable patents depends on our inventions being patentable in light of the prior art.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invent the inventions claimed in any of our owned or licensed patents or pending patent applications, or that we or our licensors were the first to make the inventions claimed in those owned or licensed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patents and patent applications may not issue as patents and even if issued, may be challenged and invalidated or rendered unenforceable. Furthermore, even if a patent is granted, our competitors or other third parties may be able to circumvent the patent by developing similar or alternative products in a non-infringing manner which could materially adversely affect our business, financial condition, results of operations and prospects.</w:t>
      </w:r>
    </w:p>
    <w:p>
      <w:pPr>
        <w:spacing w:after="0" w:line="172" w:lineRule="exact"/>
        <w:rPr>
          <w:sz w:val="20"/>
          <w:szCs w:val="20"/>
          <w:color w:val="auto"/>
        </w:rPr>
      </w:pPr>
    </w:p>
    <w:p>
      <w:pPr>
        <w:ind w:right="60" w:firstLine="627"/>
        <w:spacing w:after="0" w:line="263" w:lineRule="auto"/>
        <w:rPr>
          <w:sz w:val="20"/>
          <w:szCs w:val="20"/>
          <w:color w:val="auto"/>
        </w:rPr>
      </w:pPr>
      <w:r>
        <w:rPr>
          <w:rFonts w:ascii="Arial" w:cs="Arial" w:eastAsia="Arial" w:hAnsi="Arial"/>
          <w:sz w:val="17"/>
          <w:szCs w:val="17"/>
          <w:color w:val="auto"/>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existing and future in-licenses to which we may become a party, we may not have the right to control the preparation, filing and prosecution of patent applications, or to maintain the patents, covering intellectual property in-licensed from third parties. Therefore, these patents and patent applications may not be prosecuted and enforced in a manner consistent with the best interests of our business.</w:t>
      </w:r>
    </w:p>
    <w:p>
      <w:pPr>
        <w:spacing w:after="0" w:line="171" w:lineRule="exact"/>
        <w:rPr>
          <w:sz w:val="20"/>
          <w:szCs w:val="20"/>
          <w:color w:val="auto"/>
        </w:rPr>
      </w:pPr>
    </w:p>
    <w:p>
      <w:pPr>
        <w:jc w:val="both"/>
        <w:ind w:right="320" w:firstLine="627"/>
        <w:spacing w:after="0" w:line="277"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560"/>
        <w:spacing w:after="0" w:line="298" w:lineRule="auto"/>
        <w:rPr>
          <w:sz w:val="20"/>
          <w:szCs w:val="20"/>
          <w:color w:val="auto"/>
        </w:rPr>
      </w:pPr>
      <w:r>
        <w:rPr>
          <w:rFonts w:ascii="Arial" w:cs="Arial" w:eastAsia="Arial" w:hAnsi="Arial"/>
          <w:sz w:val="17"/>
          <w:szCs w:val="17"/>
          <w:color w:val="auto"/>
        </w:rPr>
        <w:t>are highly uncertain. Our and our licensors’ pending and future patent applications may not result in patents being issued which protect our product candidates or which effectively prevent others from commercializing competitive products.</w:t>
      </w:r>
    </w:p>
    <w:p>
      <w:pPr>
        <w:spacing w:after="0" w:line="141"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owned and licensed patents may be challenged in the courts or patent offices in the U.S.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or our licensors may in the future, become subject to a third-party pre-issuance submission of prior art, opposition, derivation, revocation, re-examination, post-grant and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or interference proceeding and other similar proceedings challenging our patent rights or the patent rights of others in the U.S.</w:t>
      </w:r>
      <w:r>
        <w:rPr>
          <w:rFonts w:ascii="Arial" w:cs="Arial" w:eastAsia="Arial" w:hAnsi="Arial"/>
          <w:sz w:val="17"/>
          <w:szCs w:val="17"/>
          <w:i w:val="1"/>
          <w:iCs w:val="1"/>
          <w:color w:val="auto"/>
        </w:rPr>
        <w:t xml:space="preserve"> </w:t>
      </w:r>
      <w:r>
        <w:rPr>
          <w:rFonts w:ascii="Arial" w:cs="Arial" w:eastAsia="Arial" w:hAnsi="Arial"/>
          <w:sz w:val="17"/>
          <w:szCs w:val="17"/>
          <w:color w:val="auto"/>
        </w:rPr>
        <w:t>Patent and Trademark Office (the “USPTO”) or other foreign patent office. Such challenges may result in loss of exclusivity or freedom to operate or in patent claims being narrowed, invalidated, or held unenforceable, which could limit our ability to stop others from using or commercializing similar or identical products, or limit the duration of the patent protection of our product candidates.</w:t>
      </w:r>
    </w:p>
    <w:p>
      <w:pPr>
        <w:spacing w:after="0" w:line="175" w:lineRule="exact"/>
        <w:rPr>
          <w:sz w:val="20"/>
          <w:szCs w:val="20"/>
          <w:color w:val="auto"/>
        </w:rPr>
      </w:pPr>
    </w:p>
    <w:p>
      <w:pPr>
        <w:ind w:right="100" w:firstLine="627"/>
        <w:spacing w:after="0" w:line="260" w:lineRule="auto"/>
        <w:rPr>
          <w:sz w:val="20"/>
          <w:szCs w:val="20"/>
          <w:color w:val="auto"/>
        </w:rPr>
      </w:pPr>
      <w:r>
        <w:rPr>
          <w:rFonts w:ascii="Arial" w:cs="Arial" w:eastAsia="Arial" w:hAnsi="Arial"/>
          <w:sz w:val="17"/>
          <w:szCs w:val="17"/>
          <w:color w:val="auto"/>
        </w:rPr>
        <w:t>In addition to the protection provided by our patent portfolio, we rely on access to certain third-party trade secret protection as well as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 -how, information or intellectual property to enter into confidentiality agreements, certain employees may not have signed such agreements and we cannot provide any assurances that all such agreements have been duly executed, or that such trade secrets and other confidential proprietary information will not be disclosed. Moreover, our competitors may independently develop knowledge, methods and know-how equivalent to the above-mentioned trade secrets. Competitors could purchase our products, if approved, and replicate some or all of the competitive advantages we derive from our development efforts for intellectual property on which we do not have patent protection. If any trade secrets were to be lawfully obtained or independently developed by a competitor, we would have no right to prevent them, or those to whom they communicate it, from using that intellectual property or information to compete with us. If any trade secrets were to be disclosed to or independently developed by a competitor, our competitive position would be harmed.</w:t>
      </w:r>
    </w:p>
    <w:p>
      <w:pPr>
        <w:spacing w:after="0" w:line="177" w:lineRule="exact"/>
        <w:rPr>
          <w:sz w:val="20"/>
          <w:szCs w:val="20"/>
          <w:color w:val="auto"/>
        </w:rPr>
      </w:pPr>
    </w:p>
    <w:p>
      <w:pPr>
        <w:ind w:right="100" w:firstLine="627"/>
        <w:spacing w:after="0" w:line="262" w:lineRule="auto"/>
        <w:rPr>
          <w:sz w:val="20"/>
          <w:szCs w:val="20"/>
          <w:color w:val="auto"/>
        </w:rPr>
      </w:pPr>
      <w:r>
        <w:rPr>
          <w:rFonts w:ascii="Arial" w:cs="Arial" w:eastAsia="Arial" w:hAnsi="Arial"/>
          <w:sz w:val="17"/>
          <w:szCs w:val="17"/>
          <w:color w:val="auto"/>
        </w:rPr>
        <w:t>We also seek to preserve the integrity and confidentiality of our proprietary data and third-party trade secrets by maintaining physical security of our premises and physical and electronic security of our information technology systems. However, our agreements and security measures may be breached, and we may not have adequate remedies for any breach. Also, if the steps taken to maintain trade secrets are deemed inadequate, we may have insufficient recourse against third parties for misappropriating the trade secret. In addition, others may independently discover the trade secrets and our proprietary information. Further, the FDA may change its disclosure policies from time to time and make additional information publicly available on a routine basis. If we are unable to prevent material disclosure of the non-patented intellectual property related to our product candidates to third parties, we may not be able to establish or maintain a competitive advantage in our market, which could materially adversely affect our business, results of operations and financial condition.</w:t>
      </w:r>
    </w:p>
    <w:p>
      <w:pPr>
        <w:spacing w:after="0" w:line="277" w:lineRule="exact"/>
        <w:rPr>
          <w:sz w:val="20"/>
          <w:szCs w:val="20"/>
          <w:color w:val="auto"/>
        </w:rPr>
      </w:pPr>
    </w:p>
    <w:p>
      <w:pPr>
        <w:jc w:val="both"/>
        <w:ind w:right="80"/>
        <w:spacing w:after="0" w:line="282" w:lineRule="auto"/>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products, if approved, for an adequate amount of time, and if we do not obtain protection under the Hatch-Waxman Amendments and similar non-U.S. legislation for extending the term of patents covering each of our product candidates, our business may be materially harmed.</w:t>
      </w:r>
    </w:p>
    <w:p>
      <w:pPr>
        <w:spacing w:after="0" w:line="42" w:lineRule="exact"/>
        <w:rPr>
          <w:sz w:val="20"/>
          <w:szCs w:val="20"/>
          <w:color w:val="auto"/>
        </w:rPr>
      </w:pPr>
    </w:p>
    <w:p>
      <w:pPr>
        <w:ind w:firstLine="627"/>
        <w:spacing w:after="0" w:line="263" w:lineRule="auto"/>
        <w:rPr>
          <w:sz w:val="20"/>
          <w:szCs w:val="20"/>
          <w:color w:val="auto"/>
        </w:rPr>
      </w:pPr>
      <w:r>
        <w:rPr>
          <w:rFonts w:ascii="Arial" w:cs="Arial" w:eastAsia="Arial" w:hAnsi="Arial"/>
          <w:sz w:val="17"/>
          <w:szCs w:val="17"/>
          <w:color w:val="auto"/>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are limited. Even if additional patents covering our current or future product candidates are obtained, once the patent life has expired for a product, if approved,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approved and commercialized. Because of these term limits, our owned and licensed patent portfolio may not provide us with sufficient rights to exclude others from commercializing products similar or identical to ours, if approved. If we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60"/>
        <w:spacing w:after="0" w:line="298" w:lineRule="auto"/>
        <w:rPr>
          <w:sz w:val="20"/>
          <w:szCs w:val="20"/>
          <w:color w:val="auto"/>
        </w:rPr>
      </w:pPr>
      <w:r>
        <w:rPr>
          <w:rFonts w:ascii="Arial" w:cs="Arial" w:eastAsia="Arial" w:hAnsi="Arial"/>
          <w:sz w:val="17"/>
          <w:szCs w:val="17"/>
          <w:color w:val="auto"/>
        </w:rPr>
        <w:t>do not have sufficient patent life to protect our product candidates, our business, financial condition, results of operations, and prospects may be adversely affected.</w:t>
      </w:r>
    </w:p>
    <w:p>
      <w:pPr>
        <w:spacing w:after="0" w:line="141" w:lineRule="exact"/>
        <w:rPr>
          <w:sz w:val="20"/>
          <w:szCs w:val="20"/>
          <w:color w:val="auto"/>
        </w:rPr>
      </w:pPr>
    </w:p>
    <w:p>
      <w:pPr>
        <w:ind w:right="20" w:firstLine="627"/>
        <w:spacing w:after="0" w:line="259"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any U.S. patents that may issue covering our product candidates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that is a new chemical entity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and we cannot be certain what the length of the extension would be or if we will receive an extension at all.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any applicable products could be reduced and could have a material adverse effect on our business.</w:t>
      </w:r>
    </w:p>
    <w:p>
      <w:pPr>
        <w:spacing w:after="0" w:line="28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we fail to comply with our obligations in any current intellectual property licenses with third parties, or fail to obtain such licenses in the future, we could lose rights that are material to our business.</w:t>
      </w:r>
    </w:p>
    <w:p>
      <w:pPr>
        <w:spacing w:after="0" w:line="20" w:lineRule="exact"/>
        <w:rPr>
          <w:sz w:val="20"/>
          <w:szCs w:val="20"/>
          <w:color w:val="auto"/>
        </w:rPr>
      </w:pPr>
    </w:p>
    <w:p>
      <w:pPr>
        <w:ind w:right="20" w:firstLine="627"/>
        <w:spacing w:after="0" w:line="266" w:lineRule="auto"/>
        <w:rPr>
          <w:sz w:val="20"/>
          <w:szCs w:val="20"/>
          <w:color w:val="auto"/>
        </w:rPr>
      </w:pPr>
      <w:r>
        <w:rPr>
          <w:rFonts w:ascii="Arial" w:cs="Arial" w:eastAsia="Arial" w:hAnsi="Arial"/>
          <w:sz w:val="17"/>
          <w:szCs w:val="17"/>
          <w:color w:val="auto"/>
        </w:rPr>
        <w:t>We have licensed third-party intellectual property that is material to our business, and may enter into additional license agreements in the future. We do not and will not own the patents or patent applications that underlie these licenses, and we may not control either the prosecution or the enforcement of the patents. Under such circumstances, we may be forced to rely upon our licensors to properly prosecute and file those patent applications and prevent infringement of those patents. Therefore, we cannot be certain that the prosecution, maintenance and enforcement of these patent rights will be in a manner consistent with the best interests of our business.</w:t>
      </w:r>
    </w:p>
    <w:p>
      <w:pPr>
        <w:spacing w:after="0" w:line="170" w:lineRule="exact"/>
        <w:rPr>
          <w:sz w:val="20"/>
          <w:szCs w:val="20"/>
          <w:color w:val="auto"/>
        </w:rPr>
      </w:pPr>
    </w:p>
    <w:p>
      <w:pPr>
        <w:ind w:right="120" w:firstLine="627"/>
        <w:spacing w:after="0" w:line="277" w:lineRule="auto"/>
        <w:rPr>
          <w:sz w:val="20"/>
          <w:szCs w:val="20"/>
          <w:color w:val="auto"/>
        </w:rPr>
      </w:pPr>
      <w:r>
        <w:rPr>
          <w:rFonts w:ascii="Arial" w:cs="Arial" w:eastAsia="Arial" w:hAnsi="Arial"/>
          <w:sz w:val="17"/>
          <w:szCs w:val="17"/>
          <w:color w:val="auto"/>
        </w:rPr>
        <w:t>If we or our licensors fail to maintain such patents, or if we or our licensors lose rights to those patents or patent applications, the rights we have licensed may be reduced or eliminated and our right to develop and commercialize any of our product candidates that are the subject of such licensed rights could be adversely affected.</w:t>
      </w:r>
    </w:p>
    <w:p>
      <w:pPr>
        <w:spacing w:after="0" w:line="159"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Our rights to use the intellectual property and practice the inventions claimed in the licensed patents and patent applications are subject to our licensors abiding by the terms of those licenses and not terminating them. In addition, existing license agreements do, and future agreements may, impose diligence, development and commercialization timelines and milestone payment, royalty, insurance and other obligations, including rights of first negotiation (“ROFN”) for development of certain programs. For example, under our license agreement with AbbVie, AbbVie has a ROFN pursuant to which it would have an exclusive period to negotiate in good faith the terms of a commercial license transaction if we decide to pursue a license or sublicense to commercialize a licensed product under the AbbVie agreement prior to initiating Phase 3 clinical trials. This ROFN may delay or undermine our ability to enter into an otherwise beneficial transaction. If we fail to comply with our obligations, our licensors may have the right to terminate the licenses, in which event we might not be able to develop, manufacture or market any product that is covered by the intellectual property we in-license from such licensor and may face other penalties. If any of our licenses are terminated, we may lose our patent rights on a territory-by-territory basis, and such rights may be lost worldwide. Termination of any license agreement could reduce or eliminate our rights under these agreements and may result in our having to negotiate new or reinstated agreements with less favorable terms or cause us to lose our rights under these agreements, including our rights to important intellectual property. Any of the foregoing outcomes could prevent us from commercializing relevant product candidates, which could have a material adverse effect on our operating results and overall financial condition.</w:t>
      </w:r>
    </w:p>
    <w:p>
      <w:pPr>
        <w:spacing w:after="0" w:line="391" w:lineRule="exact"/>
        <w:rPr>
          <w:sz w:val="20"/>
          <w:szCs w:val="20"/>
          <w:color w:val="auto"/>
        </w:rPr>
      </w:pPr>
    </w:p>
    <w:p>
      <w:pPr>
        <w:ind w:right="160" w:firstLine="627"/>
        <w:spacing w:after="0" w:line="298" w:lineRule="auto"/>
        <w:rPr>
          <w:sz w:val="20"/>
          <w:szCs w:val="20"/>
          <w:color w:val="auto"/>
        </w:rPr>
      </w:pPr>
      <w:r>
        <w:rPr>
          <w:rFonts w:ascii="Arial" w:cs="Arial" w:eastAsia="Arial" w:hAnsi="Arial"/>
          <w:sz w:val="17"/>
          <w:szCs w:val="17"/>
          <w:color w:val="auto"/>
        </w:rPr>
        <w:t>In addition, disputes regarding obligations in licenses may require us to take expensive and time-consuming legal action to resolve, and, even if we are successful, may delay our ability to commercialize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products and generate revenue. Further, if we are unable to resolve license issues that arise, we may lose rights to practice intellectual property that is required to make, use or sell products. We may require additional licenses in the future. Licenses to additional third-party intellectual property and materials that may be required for our development programs may not be available on commercially reasonable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71" w:lineRule="exact"/>
        <w:rPr>
          <w:sz w:val="20"/>
          <w:szCs w:val="20"/>
          <w:color w:val="auto"/>
        </w:rPr>
      </w:pPr>
    </w:p>
    <w:p>
      <w:pPr>
        <w:ind w:right="20" w:firstLine="627"/>
        <w:spacing w:after="0" w:line="262" w:lineRule="auto"/>
        <w:rPr>
          <w:sz w:val="20"/>
          <w:szCs w:val="20"/>
          <w:color w:val="auto"/>
        </w:rPr>
      </w:pPr>
      <w:r>
        <w:rPr>
          <w:rFonts w:ascii="Arial" w:cs="Arial" w:eastAsia="Arial" w:hAnsi="Arial"/>
          <w:sz w:val="17"/>
          <w:szCs w:val="17"/>
          <w:color w:val="auto"/>
        </w:rPr>
        <w:t>In addition, disputes may also arise between us and our licensors regarding intellectual property subject to a license agreement, including disputes concerning scope of rights granted under the license agreement and other interpretation-related issues; whether and the extent to which our product candidates and processes infringe on intellectual property of the licensor that is not subject to the licensing agreement; and ownership of inventions and know-how resulting from the joint creation or use of intellectual property by our licensors and us and our partners. If disputes over intellectual property that we have licensed prevent or impair our ability to maintain our current licensing arrangements on acceptable terms, we may be unable to successfully develop and commercialize the affected product candidates. If we are unable to successfully obtain rights to required third-party intellectual property rights, we may have to abandon development of the relevant program or product candidate or expend time and resources re-designing the program or product candidate, which could have a material adverse effect on our business.</w:t>
      </w:r>
    </w:p>
    <w:p>
      <w:pPr>
        <w:spacing w:after="0" w:line="173" w:lineRule="exact"/>
        <w:rPr>
          <w:sz w:val="20"/>
          <w:szCs w:val="20"/>
          <w:color w:val="auto"/>
        </w:rPr>
      </w:pPr>
    </w:p>
    <w:p>
      <w:pPr>
        <w:ind w:right="200" w:firstLine="627"/>
        <w:spacing w:after="0" w:line="266" w:lineRule="auto"/>
        <w:rPr>
          <w:sz w:val="20"/>
          <w:szCs w:val="20"/>
          <w:color w:val="auto"/>
        </w:rPr>
      </w:pPr>
      <w:r>
        <w:rPr>
          <w:rFonts w:ascii="Arial" w:cs="Arial" w:eastAsia="Arial" w:hAnsi="Arial"/>
          <w:sz w:val="17"/>
          <w:szCs w:val="17"/>
          <w:color w:val="auto"/>
        </w:rPr>
        <w:t>Intellectual property rights that we in-license in the future may also be granted through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274" w:lineRule="exact"/>
        <w:rPr>
          <w:sz w:val="20"/>
          <w:szCs w:val="20"/>
          <w:color w:val="auto"/>
        </w:rPr>
      </w:pPr>
    </w:p>
    <w:p>
      <w:pPr>
        <w:ind w:right="360"/>
        <w:spacing w:after="0" w:line="307" w:lineRule="auto"/>
        <w:rPr>
          <w:sz w:val="20"/>
          <w:szCs w:val="20"/>
          <w:color w:val="auto"/>
        </w:rPr>
      </w:pPr>
      <w:r>
        <w:rPr>
          <w:rFonts w:ascii="Arial" w:cs="Arial" w:eastAsia="Arial" w:hAnsi="Arial"/>
          <w:sz w:val="17"/>
          <w:szCs w:val="17"/>
          <w:b w:val="1"/>
          <w:bCs w:val="1"/>
          <w:i w:val="1"/>
          <w:iCs w:val="1"/>
          <w:color w:val="auto"/>
        </w:rPr>
        <w:t>Patent reform legislation could increase the uncertainties and costs surrounding the prosecution of our patent applications and the enforcement or defense of any future patents we obtain.</w:t>
      </w:r>
    </w:p>
    <w:p>
      <w:pPr>
        <w:spacing w:after="0" w:line="22"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Our ability to obtain patents is highly uncertain because, to date, some legal principles remain unresolved, and there has not been a consistent policy regarding the breadth or interpretation of claims allowed in patents in the U.S.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U.S. and other countries may diminish the value of our intellectual property or narrow the scope of our patent protection.</w:t>
      </w:r>
    </w:p>
    <w:p>
      <w:pPr>
        <w:spacing w:after="0" w:line="170"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Patent reform legislation in the U.S. and other countries, including the Leahy-Smith America Invents Act (the “Leahy-Smith Act”) signed into law on September 16, 2011, and its implementation could increase the uncertainties around patent protection, costs, and the enforcement or defense of our patents, all of which could have a material adverse effect on our business, financial condition, results of operations and prospects. The Leahy-Smith Act included a number of significant changes to U.S. patent law. Such provisions affect the way patent applications are prosecuted, redefine prior art, and provide more efficient and cost-effective avenues for competitors to challenge the validity of patents. In addition, the Leahy-Smith Act has transformed the U.S. into a “first-to-file” system for deciding which party should be granted a patent when two or more patent applications are filed by different parties claiming the same invention. The first-to-file provisions, however, only became effective on March 16, 2013. Accordingly, it is not yet clear what, if any, impact the Leahy-Smith Act will have on the operation of our business.</w:t>
      </w:r>
    </w:p>
    <w:p>
      <w:pPr>
        <w:spacing w:after="0" w:line="173" w:lineRule="exact"/>
        <w:rPr>
          <w:sz w:val="20"/>
          <w:szCs w:val="20"/>
          <w:color w:val="auto"/>
        </w:rPr>
      </w:pPr>
    </w:p>
    <w:p>
      <w:pPr>
        <w:ind w:right="120" w:firstLine="627"/>
        <w:spacing w:after="0" w:line="266" w:lineRule="auto"/>
        <w:rPr>
          <w:sz w:val="20"/>
          <w:szCs w:val="20"/>
          <w:color w:val="auto"/>
        </w:rPr>
      </w:pPr>
      <w:r>
        <w:rPr>
          <w:rFonts w:ascii="Arial" w:cs="Arial" w:eastAsia="Arial" w:hAnsi="Arial"/>
          <w:sz w:val="17"/>
          <w:szCs w:val="17"/>
          <w:color w:val="auto"/>
        </w:rPr>
        <w:t>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 Further, recent U.S. Supreme Court rulings have narrowed the scope of patent protection available in certain circumstances and weakened the rights of patent owners in certain situations. In addition to increasing uncertainty with regard to our or our licensors’ ability to obtain patents in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our or our licensors’ existing patents and patents that we or our licensors might obtain in the future. We cannot predict how future decisions by the courts, Congress or the USPTO may impact the value of our or our licensors’ patents. Similarly,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our patent rights.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involved in lawsuits to protect or enforce our patents, which could be expensive, time consuming and unsuccessful.</w:t>
      </w:r>
    </w:p>
    <w:p>
      <w:pPr>
        <w:spacing w:after="0" w:line="118" w:lineRule="exact"/>
        <w:rPr>
          <w:sz w:val="20"/>
          <w:szCs w:val="20"/>
          <w:color w:val="auto"/>
        </w:rPr>
      </w:pPr>
    </w:p>
    <w:p>
      <w:pPr>
        <w:ind w:right="180" w:firstLine="627"/>
        <w:spacing w:after="0" w:line="264" w:lineRule="auto"/>
        <w:rPr>
          <w:sz w:val="20"/>
          <w:szCs w:val="20"/>
          <w:color w:val="auto"/>
        </w:rPr>
      </w:pPr>
      <w:r>
        <w:rPr>
          <w:rFonts w:ascii="Arial" w:cs="Arial" w:eastAsia="Arial" w:hAnsi="Arial"/>
          <w:sz w:val="17"/>
          <w:szCs w:val="17"/>
          <w:color w:val="auto"/>
        </w:rPr>
        <w:t>While we are not currently involved in any disputes relating to our intellectual property, competitors may infringe the patents we have applied for. To counter infringement or unauthorized use, we may be required to file infringement claims, which can be expensive and time - consuming. If we initiate legal proceedings against a third party to enforce a patent covering one of our product candidates, the defendant could counterclaim that the patent covering our product or product candidate is invalid and/or unenforceable. In patent litigation in the U.S., counterclaims alleging invalidity and/or unenforceability are common, and there are numerous grounds upon which a third party can assert invalidity or unenforceability of a patent.</w:t>
      </w:r>
    </w:p>
    <w:p>
      <w:pPr>
        <w:spacing w:after="0" w:line="17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 xml:space="preserve">In an infringement proceeding, a court may decide that the patent claims we are asserting are invalid and/or unenforceable, or may refuse to stop the other party from using the intellectual property at issue on the grounds that our patent claims do not cover the intellectual property in question. Third parties may also raise similar claims before administrative bodies in the U.S.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(for example, opposition proceedings). Such proceedings could result in revocation of or amendment to our patents in such a way that they no longer cover our product candidates. The outcome following legal assertions of infringement, invalidity and unenforceability is unpredictable. With respect to the validity question, for example, we cannot be certain that there is no invalidating prior art.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172" w:lineRule="exact"/>
        <w:rPr>
          <w:sz w:val="20"/>
          <w:szCs w:val="20"/>
          <w:color w:val="auto"/>
        </w:rPr>
      </w:pPr>
    </w:p>
    <w:p>
      <w:pPr>
        <w:ind w:right="40" w:firstLine="627"/>
        <w:spacing w:after="0" w:line="270" w:lineRule="auto"/>
        <w:rPr>
          <w:sz w:val="20"/>
          <w:szCs w:val="20"/>
          <w:color w:val="auto"/>
        </w:rPr>
      </w:pPr>
      <w:r>
        <w:rPr>
          <w:rFonts w:ascii="Arial" w:cs="Arial" w:eastAsia="Arial" w:hAnsi="Arial"/>
          <w:sz w:val="17"/>
          <w:szCs w:val="17"/>
          <w:color w:val="auto"/>
        </w:rPr>
        <w:t>Our defense of litigation or interference proceedings may fail and require us to cease using certain intellectual property or force us to take a license under the intellectual property rights of the prevailing party, if available. Even if successful, litigation or interference proceedings may result in substantial costs and distract our management and other employees. We may not be able to prevent misappropriation of our intellectual property rights, particularly in countries where the laws may not protect those rights as fully as in the U.S.</w:t>
      </w:r>
    </w:p>
    <w:p>
      <w:pPr>
        <w:spacing w:after="0" w:line="165" w:lineRule="exact"/>
        <w:rPr>
          <w:sz w:val="20"/>
          <w:szCs w:val="20"/>
          <w:color w:val="auto"/>
        </w:rPr>
      </w:pPr>
    </w:p>
    <w:p>
      <w:pPr>
        <w:ind w:right="80" w:firstLine="627"/>
        <w:spacing w:after="0" w:line="270"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6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w:t>
      </w:r>
    </w:p>
    <w:p>
      <w:pPr>
        <w:spacing w:after="0" w:line="20"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 xml:space="preserve">While no third parties to our knowledge have initiated legal proceedings against us to date, 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infringement, interference or derivation proceedings, post-grant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before the USPTO or similar adversarial proceedings or litigation in other jurisdictions. Even if we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believe such claims are without merit, a court of competent jurisdiction could hold that these third-party patents are valid, enforceable and infringed, which could have a negative impact on our ability to commercialize our product candidates or any future product candidates. In order to successfully challenge the validity of any such U.S. patent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Similarly, the burdens on us to invalidate patent claims in foreign jurisdiction may vary substantially and courts in those jurisdictions may not agree with us that the claims are invalid. The outcome of proceedings involving assertions of infringement, invalidity and unenforceability during patent litigation is unpredictable. Furthermore, if a patent holder believes that one of our product candidates infringes its patent, the patent holder may sue us even if we have received patent protection for our intellectual property. Moreover, we may face patent infringement claims from non-practicing entities that have no relevant revenue and against whom our own patent portfolio may thus have no deterrent effect. If a patent infringement suit were threatened or brought against us, we could be forced to stop or delay manufacturing or sales of the drug or product candidate that is the subject of the actual or threatened suit. Moreover, given the vast number of patents in our field of intellectual property, we cannot be certain that our current and future product candidates do not or will not infringe existing patents or that we will not infringe patents that may be granted in the future.</w:t>
      </w:r>
    </w:p>
    <w:p>
      <w:pPr>
        <w:spacing w:after="0" w:line="182" w:lineRule="exact"/>
        <w:rPr>
          <w:sz w:val="20"/>
          <w:szCs w:val="20"/>
          <w:color w:val="auto"/>
        </w:rPr>
      </w:pPr>
    </w:p>
    <w:p>
      <w:pPr>
        <w:ind w:firstLine="627"/>
        <w:spacing w:after="0" w:line="260"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intellectual property rights licensed to us. If we fail to obtain a required license, we may be unable to effectively market product candidates based on our intellectual property, which could limit our ability to generate revenue or achieve profitability and possibly prevent us from generating revenue sufficient to sustain our operations. Alternatively, we may need to redesign our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that prevents us from commercializing our product candidates, requires us to redesign our products, or forces us to cease some of our business operations could materially harm our business.</w:t>
      </w:r>
    </w:p>
    <w:p>
      <w:pPr>
        <w:spacing w:after="0" w:line="389" w:lineRule="exact"/>
        <w:rPr>
          <w:sz w:val="20"/>
          <w:szCs w:val="20"/>
          <w:color w:val="auto"/>
        </w:rPr>
      </w:pPr>
    </w:p>
    <w:p>
      <w:pPr>
        <w:ind w:right="140" w:firstLine="627"/>
        <w:spacing w:after="0" w:line="266" w:lineRule="auto"/>
        <w:rPr>
          <w:sz w:val="20"/>
          <w:szCs w:val="20"/>
          <w:color w:val="auto"/>
        </w:rPr>
      </w:pPr>
      <w:r>
        <w:rPr>
          <w:rFonts w:ascii="Arial" w:cs="Arial" w:eastAsia="Arial" w:hAnsi="Arial"/>
          <w:sz w:val="17"/>
          <w:szCs w:val="17"/>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74"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or trade secrets of third parties.</w:t>
      </w:r>
    </w:p>
    <w:p>
      <w:pPr>
        <w:spacing w:after="0" w:line="20" w:lineRule="exact"/>
        <w:rPr>
          <w:sz w:val="20"/>
          <w:szCs w:val="20"/>
          <w:color w:val="auto"/>
        </w:rPr>
      </w:pPr>
    </w:p>
    <w:p>
      <w:pPr>
        <w:ind w:right="80" w:firstLine="627"/>
        <w:spacing w:after="0" w:line="264"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Although we try to ensure that our employees, consultants and advisors do not use the proprietary information, trade secrets or know-how of others in their work for us, we may be subject to claims that we or our employees, consultants or independent contractors have inadvertently or otherwise used or disclosed confidential information of our employees’ former employers or other third parties.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intellectual property, including any patents we obtain.</w:t>
      </w:r>
    </w:p>
    <w:p>
      <w:pPr>
        <w:spacing w:after="0" w:line="118" w:lineRule="exact"/>
        <w:rPr>
          <w:sz w:val="20"/>
          <w:szCs w:val="20"/>
          <w:color w:val="auto"/>
        </w:rPr>
      </w:pPr>
    </w:p>
    <w:p>
      <w:pPr>
        <w:ind w:right="80" w:firstLine="627"/>
        <w:spacing w:after="0" w:line="277"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ownership interest in our patent applications, any patents we obtain, or other intellectual property. We may be subject to ownership disputes in the future arising, for example, from conflicting obligations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If we no longer own intellectual property rights that are required to commercialize and protect our products, we may need to obtain a license to those rights, which may not be available on commercially reasonable terms, or at all. Such an outcome could have a material adverse effect on our business.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81" w:lineRule="exact"/>
        <w:rPr>
          <w:sz w:val="20"/>
          <w:szCs w:val="20"/>
          <w:color w:val="auto"/>
        </w:rPr>
      </w:pPr>
    </w:p>
    <w:p>
      <w:pPr>
        <w:jc w:val="both"/>
        <w:ind w:right="180"/>
        <w:spacing w:after="0" w:line="282" w:lineRule="auto"/>
        <w:rPr>
          <w:sz w:val="20"/>
          <w:szCs w:val="20"/>
          <w:color w:val="auto"/>
        </w:rPr>
      </w:pPr>
      <w:r>
        <w:rPr>
          <w:rFonts w:ascii="Arial" w:cs="Arial" w:eastAsia="Arial" w:hAnsi="Arial"/>
          <w:sz w:val="17"/>
          <w:szCs w:val="17"/>
          <w:b w:val="1"/>
          <w:bCs w:val="1"/>
          <w:i w:val="1"/>
          <w:iCs w:val="1"/>
          <w:color w:val="auto"/>
        </w:rPr>
        <w:t>Reliance on third parties requires us to share trade secrets, which increases the possibility that trade secrets will be misappropriated or disclosed, and confidentiality agreements with employees and third parties may not adequately prevent disclosure of trade secrets and protect other proprietary information.</w:t>
      </w:r>
    </w:p>
    <w:p>
      <w:pPr>
        <w:spacing w:after="0" w:line="42"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We rely on certain third-party trade secrets, technical know-how, proprietary information and other confidential information to protect our product candidates and as otherwise useful to our business. Monitoring unauthorized uses and disclosures of trade secrets and other confidential information is difficult, and we do not know whether the steps we have taken to protect our confidential intellectual property will be effective. We seek to protect our confidential information, in part, through confidentiality and non-disclosure agreements with our employees, consultants, collaborators, suppliers and other parties. These agreements typically restrict the ability of our employees, consultants, advisors and third-party contractors to use or disclose our proprietary information or publish data potentially relating to our proprietary information. Despite our efforts to protect trade secrets, we may not be able to prevent the unauthorized disclosure or use of our technical know-how or other proprietary information by the parties to these agreements. There can be no assurance that these agreements will not be breached, including by disclosure of our confidential information. If any of the collaborators, scientific advisors, employees, contractors and consultants who are parties to these agreements breaches or violates the terms of any of these agreements, we may not have adequate remedies for any such breach or violation, and trade secret status could be lost as a result. We also cannot guarantee that we have entered into such agreements with each party that may have or have had access to our confidential information or proprietary product candidates and processes. Moreover, if confidential information that is licensed or disclosed to us by our partners, collaborators or others is inadvertently disclosed or subject to a breach or violation, we may be liable to the owner of that confidential information. Monitoring unauthorized uses and disclosures is difficult, and we do not know whether the steps we have taken to protect our proprietary product candidates and processes will be effective.</w:t>
      </w:r>
    </w:p>
    <w:p>
      <w:pPr>
        <w:spacing w:after="0" w:line="177" w:lineRule="exact"/>
        <w:rPr>
          <w:sz w:val="20"/>
          <w:szCs w:val="20"/>
          <w:color w:val="auto"/>
        </w:rPr>
      </w:pPr>
    </w:p>
    <w:p>
      <w:pPr>
        <w:ind w:right="20" w:firstLine="627"/>
        <w:spacing w:after="0" w:line="262" w:lineRule="auto"/>
        <w:rPr>
          <w:sz w:val="20"/>
          <w:szCs w:val="20"/>
          <w:color w:val="auto"/>
        </w:rPr>
      </w:pPr>
      <w:r>
        <w:rPr>
          <w:rFonts w:ascii="Arial" w:cs="Arial" w:eastAsia="Arial" w:hAnsi="Arial"/>
          <w:sz w:val="17"/>
          <w:szCs w:val="17"/>
          <w:color w:val="auto"/>
        </w:rPr>
        <w:t>To the extent that we rely on third parties to manufacture or commercialize our product candidates, or if we collaborate with additional third parties for the development of our product candidates, we must, at times, share proprietary information with them. We may also conduct joint research and development programs that may require us to share potential trade secrets under the terms of our research and development partnerships or similar agreements. Despite the contractual provisions employed when working with third parties, the need to share confidential information increases the risk that such potential trade secrets become known by our competitors, are inadvertently incorporated into the product candidates of others, or are disclosed or used in violation of these agreements. Given that our proprietary position is based, in part, on our know-how and other confidential information, a competitor’s discovery of such information or other unauthorized use or disclosure thereof could have an adverse effect on our business and results of operations.</w:t>
      </w:r>
    </w:p>
    <w:p>
      <w:pPr>
        <w:spacing w:after="0" w:line="173" w:lineRule="exact"/>
        <w:rPr>
          <w:sz w:val="20"/>
          <w:szCs w:val="20"/>
          <w:color w:val="auto"/>
        </w:rPr>
      </w:pPr>
    </w:p>
    <w:p>
      <w:pPr>
        <w:ind w:right="460" w:firstLine="627"/>
        <w:spacing w:after="0" w:line="277" w:lineRule="auto"/>
        <w:rPr>
          <w:sz w:val="20"/>
          <w:szCs w:val="20"/>
          <w:color w:val="auto"/>
        </w:rPr>
      </w:pPr>
      <w:r>
        <w:rPr>
          <w:rFonts w:ascii="Arial" w:cs="Arial" w:eastAsia="Arial" w:hAnsi="Arial"/>
          <w:sz w:val="17"/>
          <w:szCs w:val="17"/>
          <w:color w:val="auto"/>
        </w:rPr>
        <w:t>Enforcing a claim that a third party illegally obtained and is using trade secrets or proprietary information is expensive and time consuming, and the outcome is unpredictable. In addition, courts outside the U.S. are sometimes less willing to protect trade secrets and the enforceability of confidentiality or similar types of agreements may vary from jurisdiction to jurisdiction.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may enjoy only limited geographical protection with respect to certain patents and we may not be able to protect our intellectual property rights throughout the world.</w:t>
      </w:r>
    </w:p>
    <w:p>
      <w:pPr>
        <w:spacing w:after="0" w:line="20" w:lineRule="exact"/>
        <w:rPr>
          <w:sz w:val="20"/>
          <w:szCs w:val="20"/>
          <w:color w:val="auto"/>
        </w:rPr>
      </w:pPr>
    </w:p>
    <w:p>
      <w:pPr>
        <w:ind w:right="60" w:firstLine="627"/>
        <w:spacing w:after="0" w:line="266" w:lineRule="auto"/>
        <w:rPr>
          <w:sz w:val="20"/>
          <w:szCs w:val="20"/>
          <w:color w:val="auto"/>
        </w:rPr>
      </w:pPr>
      <w:r>
        <w:rPr>
          <w:rFonts w:ascii="Arial" w:cs="Arial" w:eastAsia="Arial" w:hAnsi="Arial"/>
          <w:sz w:val="17"/>
          <w:szCs w:val="17"/>
          <w:color w:val="auto"/>
        </w:rPr>
        <w:t>Filing and prosecuting patent applications and defending patents covering our product candidates in all countries throughout the world would be prohibitively expensive. Competitors may use our intellectual property in jurisdictions where we have not obtained patent protection to develop their own products and, further, may export otherwise infringing products to territories where we have patent protection, but enforcement rights are not as strong as that in the U.S. or Europe. These products may compete with our product candidates, and our and our licensors’ future patents or other intellectual property rights may not be effective or sufficient to prevent them from competing.</w:t>
      </w:r>
    </w:p>
    <w:p>
      <w:pPr>
        <w:spacing w:after="0" w:line="170"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Furthermore, the requirements for patentability differ in certain jurisdictions and countries. Some countries do not grant claims directed to methods of treatment or have additional restrictions on the scope of method of treatment claims compared to the U.S. Accordingly, depending on the country, the scope of patent protection may vary for the same product candidate.</w:t>
      </w:r>
    </w:p>
    <w:p>
      <w:pPr>
        <w:spacing w:after="0" w:line="172" w:lineRule="exact"/>
        <w:rPr>
          <w:sz w:val="20"/>
          <w:szCs w:val="20"/>
          <w:color w:val="auto"/>
        </w:rPr>
      </w:pPr>
    </w:p>
    <w:p>
      <w:pPr>
        <w:ind w:right="160" w:firstLine="627"/>
        <w:spacing w:after="0" w:line="263" w:lineRule="auto"/>
        <w:rPr>
          <w:sz w:val="20"/>
          <w:szCs w:val="20"/>
          <w:color w:val="auto"/>
        </w:rPr>
      </w:pPr>
      <w:r>
        <w:rPr>
          <w:rFonts w:ascii="Arial" w:cs="Arial" w:eastAsia="Arial" w:hAnsi="Arial"/>
          <w:sz w:val="17"/>
          <w:szCs w:val="17"/>
          <w:color w:val="auto"/>
        </w:rPr>
        <w:t>While we intend to protect our intellectual property rights in our expected significant markets, we cannot ensure that we will be able to initiate or maintain protection efforts in all such markets. Additionally, the prosecution of patent applications in other jurisdictions is often a longer process and patents may be granted at a later date than in the U.S., potentially delaying our ability to assert such patents against competitors.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171" w:lineRule="exact"/>
        <w:rPr>
          <w:sz w:val="20"/>
          <w:szCs w:val="20"/>
          <w:color w:val="auto"/>
        </w:rPr>
      </w:pPr>
    </w:p>
    <w:p>
      <w:pPr>
        <w:ind w:right="20" w:firstLine="627"/>
        <w:spacing w:after="0" w:line="261"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any patents we obtain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any patents we obtain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2"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spacing w:after="0" w:line="165" w:lineRule="exact"/>
        <w:rPr>
          <w:sz w:val="20"/>
          <w:szCs w:val="20"/>
          <w:color w:val="auto"/>
        </w:rPr>
      </w:pPr>
    </w:p>
    <w:p>
      <w:pPr>
        <w:ind w:right="80" w:firstLine="627"/>
        <w:spacing w:after="0" w:line="263" w:lineRule="auto"/>
        <w:rPr>
          <w:sz w:val="20"/>
          <w:szCs w:val="20"/>
          <w:color w:val="auto"/>
        </w:rPr>
      </w:pPr>
      <w:r>
        <w:rPr>
          <w:rFonts w:ascii="Arial" w:cs="Arial" w:eastAsia="Arial" w:hAnsi="Arial"/>
          <w:sz w:val="17"/>
          <w:szCs w:val="17"/>
          <w:color w:val="auto"/>
        </w:rPr>
        <w:t>In Europe, a new unitary patent system took effect on June 1, 2023, which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countries who are signatories to the UPC. Further, because the UPC is a new court system and there is no precedent for the court’s laws, there is increased uncertainty regarding the outcome of any patent litigation. We are unable to predict what impact the new patent regime may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have on our ability to exclude competitors in the European market. In addition to changes in patent laws, geopolitical dynamics, such as Russia’s incursion into Ukraine, may also impact our ability to obtain and enforce patents in particular jurisdictions. If we are unable to obtain and enforce patents as needed in particular markets, our ability to exclude competitors in those markets may be reduced.</w:t>
      </w:r>
    </w:p>
    <w:p>
      <w:pPr>
        <w:spacing w:after="0" w:line="263"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42" w:lineRule="exact"/>
        <w:rPr>
          <w:sz w:val="20"/>
          <w:szCs w:val="20"/>
          <w:color w:val="auto"/>
        </w:rPr>
      </w:pPr>
    </w:p>
    <w:p>
      <w:pPr>
        <w:ind w:firstLine="627"/>
        <w:spacing w:after="0" w:line="260"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and/or applications will be due to be paid to the USPTO and various government patent agencies outside of the U.S. over the lifetime of our patents and/or applications and any patent rights we may obtain or license in the future. Furthermore, the USPTO and various non-U.S.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27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Any trademarks we have obtained or may obtain may be infringed or otherwise violated, or successfully challenged. If our trademarks and trade names are not adequately protected, or if we are unable to obtain desired trademarks or trade names, then we may not be able to build brand name recognition in our markets of interest and our business may be adversely affected.</w:t>
      </w:r>
    </w:p>
    <w:p>
      <w:pPr>
        <w:spacing w:after="0" w:line="146" w:lineRule="exact"/>
        <w:rPr>
          <w:sz w:val="20"/>
          <w:szCs w:val="20"/>
          <w:color w:val="auto"/>
        </w:rPr>
      </w:pPr>
    </w:p>
    <w:p>
      <w:pPr>
        <w:ind w:right="360" w:firstLine="627"/>
        <w:spacing w:after="0" w:line="266" w:lineRule="auto"/>
        <w:rPr>
          <w:sz w:val="20"/>
          <w:szCs w:val="20"/>
          <w:color w:val="auto"/>
        </w:rPr>
      </w:pPr>
      <w:r>
        <w:rPr>
          <w:rFonts w:ascii="Arial" w:cs="Arial" w:eastAsia="Arial" w:hAnsi="Arial"/>
          <w:sz w:val="17"/>
          <w:szCs w:val="17"/>
          <w:color w:val="auto"/>
        </w:rPr>
        <w:t>We expect to rely on trademarks as one means to distinguish our product candidates, if approved for marketing, from the drugs of our competitors. Once we select new trademarks and apply to register them, our trademark applications may not be approved. During trademark registration proceedings in the U.S. and foreign jurisdictions, we may receive rejections. We are given an opportunity to respond to those rejections, but we may not be able to overcome such rejections. In addition, in the USPTO and in comparable agencies in many foreign jurisdictions, third parties may oppose pending trademark registration applications or seek to cancel registered trademarks.</w:t>
      </w:r>
    </w:p>
    <w:p>
      <w:pPr>
        <w:spacing w:after="0" w:line="170" w:lineRule="exact"/>
        <w:rPr>
          <w:sz w:val="20"/>
          <w:szCs w:val="20"/>
          <w:color w:val="auto"/>
        </w:rPr>
      </w:pPr>
    </w:p>
    <w:p>
      <w:pPr>
        <w:ind w:right="100" w:firstLine="627"/>
        <w:spacing w:after="0" w:line="270" w:lineRule="auto"/>
        <w:rPr>
          <w:sz w:val="20"/>
          <w:szCs w:val="20"/>
          <w:color w:val="auto"/>
        </w:rPr>
      </w:pPr>
      <w:r>
        <w:rPr>
          <w:rFonts w:ascii="Arial" w:cs="Arial" w:eastAsia="Arial" w:hAnsi="Arial"/>
          <w:sz w:val="17"/>
          <w:szCs w:val="17"/>
          <w:color w:val="auto"/>
        </w:rPr>
        <w:t>We have also not yet registered trademarks for any of our product candidates in any jurisdiction. Any trademark applications we file may be rejected and registered trademarks may not be obtained, maintained or enforced. If we do not successfully register our trademarks, we may encounter difficulty in enforcing, or be unable to enforce, our trademark rights against third parties, which could adversely affect our business and our ability to effectively compete in the marketplace.</w:t>
      </w:r>
    </w:p>
    <w:p>
      <w:pPr>
        <w:spacing w:after="0" w:line="165" w:lineRule="exact"/>
        <w:rPr>
          <w:sz w:val="20"/>
          <w:szCs w:val="20"/>
          <w:color w:val="auto"/>
        </w:rPr>
      </w:pPr>
    </w:p>
    <w:p>
      <w:pPr>
        <w:ind w:right="160" w:firstLine="627"/>
        <w:spacing w:after="0" w:line="264" w:lineRule="auto"/>
        <w:rPr>
          <w:sz w:val="20"/>
          <w:szCs w:val="20"/>
          <w:color w:val="auto"/>
        </w:rPr>
      </w:pPr>
      <w:r>
        <w:rPr>
          <w:rFonts w:ascii="Arial" w:cs="Arial" w:eastAsia="Arial" w:hAnsi="Arial"/>
          <w:sz w:val="17"/>
          <w:szCs w:val="17"/>
          <w:color w:val="auto"/>
        </w:rPr>
        <w:t>In addition, any proprietary name we propose to use with any of our product candidate in the U.S. will need to be approved by the FDA, regardless of whether we have registered, or applied to register, the proposed proprietary name as a trademark. The FDA conducts a review of proposed proprietary names, including an evaluation of potential for confusion with other products’ proprietary names, as part of the NDA review process. If the FDA objects to any of our proposed proprietary product names, we may be required to expend significant additional resources in an effort to identify a suitable proprietary name that would qualify under applicable trademark laws, not infringe the existing rights of third parties and be acceptable to the FDA.</w:t>
      </w:r>
    </w:p>
    <w:p>
      <w:pPr>
        <w:spacing w:after="0" w:line="172" w:lineRule="exact"/>
        <w:rPr>
          <w:sz w:val="20"/>
          <w:szCs w:val="20"/>
          <w:color w:val="auto"/>
        </w:rPr>
      </w:pPr>
    </w:p>
    <w:p>
      <w:pPr>
        <w:ind w:right="40" w:firstLine="627"/>
        <w:spacing w:after="0" w:line="270" w:lineRule="auto"/>
        <w:rPr>
          <w:sz w:val="20"/>
          <w:szCs w:val="20"/>
          <w:color w:val="auto"/>
        </w:rPr>
      </w:pPr>
      <w:r>
        <w:rPr>
          <w:rFonts w:ascii="Arial" w:cs="Arial" w:eastAsia="Arial" w:hAnsi="Arial"/>
          <w:sz w:val="17"/>
          <w:szCs w:val="17"/>
          <w:color w:val="auto"/>
        </w:rPr>
        <w:t>In addition, our unregistered trademarks or trade names may be challenged, infringed, circumvented or declared generic or determined to be infringing on, misappropriating or violating other marks.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 registrations may not survive such proceedings. In the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event that our trademarks are successfully challenged, we could be forced to rebrand our drugs, which could result in loss of brand recognition and could require us to devote resources to advertising and marketing new brands. At times, competitors may adopt trade names or trademarks similar to ours, thereby impeding our ability to build brand identity and possibly leading to market confusion.</w:t>
      </w:r>
    </w:p>
    <w:p>
      <w:pPr>
        <w:spacing w:after="0" w:line="159" w:lineRule="exact"/>
        <w:rPr>
          <w:sz w:val="20"/>
          <w:szCs w:val="20"/>
          <w:color w:val="auto"/>
        </w:rPr>
      </w:pPr>
    </w:p>
    <w:p>
      <w:pPr>
        <w:ind w:right="220" w:firstLine="627"/>
        <w:spacing w:after="0" w:line="277" w:lineRule="auto"/>
        <w:rPr>
          <w:sz w:val="20"/>
          <w:szCs w:val="20"/>
          <w:color w:val="auto"/>
        </w:rPr>
      </w:pPr>
      <w:r>
        <w:rPr>
          <w:rFonts w:ascii="Arial" w:cs="Arial" w:eastAsia="Arial" w:hAnsi="Arial"/>
          <w:sz w:val="17"/>
          <w:szCs w:val="17"/>
          <w:color w:val="auto"/>
        </w:rPr>
        <w:t>Our competitors may also infringe or otherwise violate our trademarks and we may not have adequate resources to enforce our trademarks. We may not be able to protect our rights to our trademarks and trade names, which we need to build name recognition among potential collaborators or customers in our markets of interest. Any of the foregoing events may have a material adverse effect on our business.</w:t>
      </w:r>
    </w:p>
    <w:p>
      <w:pPr>
        <w:spacing w:after="0" w:line="159"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Furthermore, in many countries, owning and maintaining a trademark registration may not provide an adequate defense against a subsequent infringement claim asserted by the owner of a senior trademark.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impact our financial condition or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118" w:lineRule="exact"/>
        <w:rPr>
          <w:sz w:val="20"/>
          <w:szCs w:val="20"/>
          <w:color w:val="auto"/>
        </w:rPr>
      </w:pPr>
    </w:p>
    <w:p>
      <w:pPr>
        <w:ind w:right="60" w:firstLine="627"/>
        <w:spacing w:after="0" w:line="29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7" w:lineRule="exact"/>
        <w:rPr>
          <w:sz w:val="20"/>
          <w:szCs w:val="20"/>
          <w:color w:val="auto"/>
        </w:rPr>
      </w:pPr>
    </w:p>
    <w:p>
      <w:pPr>
        <w:ind w:left="640" w:right="140" w:hanging="166"/>
        <w:spacing w:after="0" w:line="298" w:lineRule="auto"/>
        <w:tabs>
          <w:tab w:leader="none" w:pos="6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or otherwise competitive with our product candidates but that are not covered by the claims of our current or future patents;</w:t>
      </w:r>
    </w:p>
    <w:p>
      <w:pPr>
        <w:spacing w:after="0" w:line="36" w:lineRule="exact"/>
        <w:rPr>
          <w:rFonts w:ascii="Arial" w:cs="Arial" w:eastAsia="Arial" w:hAnsi="Arial"/>
          <w:sz w:val="17"/>
          <w:szCs w:val="17"/>
          <w:color w:val="auto"/>
        </w:rPr>
      </w:pPr>
    </w:p>
    <w:p>
      <w:pPr>
        <w:ind w:left="640" w:right="460" w:hanging="166"/>
        <w:spacing w:after="0" w:line="298" w:lineRule="auto"/>
        <w:tabs>
          <w:tab w:leader="none" w:pos="6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in-license necessary for the manufacture, use, sale, offer for sale or importation of one or more of our product candidates may be terminated by the licensor;</w:t>
      </w:r>
    </w:p>
    <w:p>
      <w:pPr>
        <w:spacing w:after="0" w:line="36" w:lineRule="exact"/>
        <w:rPr>
          <w:rFonts w:ascii="Arial" w:cs="Arial" w:eastAsia="Arial" w:hAnsi="Arial"/>
          <w:sz w:val="17"/>
          <w:szCs w:val="17"/>
          <w:color w:val="auto"/>
        </w:rPr>
      </w:pPr>
    </w:p>
    <w:p>
      <w:pPr>
        <w:ind w:left="640" w:right="40" w:hanging="166"/>
        <w:spacing w:after="0" w:line="298" w:lineRule="auto"/>
        <w:tabs>
          <w:tab w:leader="none" w:pos="6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or future collaborators might not have been the first to conceive and reduce to practice the inventions covered by the patents or patent applications that we own, license or will own or license;</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or future collaborators might not have been the first to file patent applications covering certain of our inventions;</w:t>
      </w:r>
    </w:p>
    <w:p>
      <w:pPr>
        <w:spacing w:after="0" w:line="117" w:lineRule="exact"/>
        <w:rPr>
          <w:rFonts w:ascii="Arial" w:cs="Arial" w:eastAsia="Arial" w:hAnsi="Arial"/>
          <w:sz w:val="17"/>
          <w:szCs w:val="17"/>
          <w:color w:val="auto"/>
        </w:rPr>
      </w:pPr>
    </w:p>
    <w:p>
      <w:pPr>
        <w:ind w:left="640" w:right="200" w:hanging="166"/>
        <w:spacing w:after="0" w:line="298" w:lineRule="auto"/>
        <w:tabs>
          <w:tab w:leader="none" w:pos="6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 candidates or duplicate any of our product candidates without infringing our intellectual property rights;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lead to issued patents;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issued patents that we own or in-license may be held invalid or unenforceable as a result of legal challenges by our competitors;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issued patents that we own or in-license may not provide coverage for all aspects of our product candidates in all countries;</w:t>
      </w:r>
    </w:p>
    <w:p>
      <w:pPr>
        <w:spacing w:after="0" w:line="117" w:lineRule="exact"/>
        <w:rPr>
          <w:rFonts w:ascii="Arial" w:cs="Arial" w:eastAsia="Arial" w:hAnsi="Arial"/>
          <w:sz w:val="17"/>
          <w:szCs w:val="17"/>
          <w:color w:val="auto"/>
        </w:rPr>
      </w:pPr>
    </w:p>
    <w:p>
      <w:pPr>
        <w:ind w:left="640" w:right="420" w:hanging="166"/>
        <w:spacing w:after="0" w:line="298" w:lineRule="auto"/>
        <w:tabs>
          <w:tab w:leader="none" w:pos="6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ownership of our patents or patent applications may be challenged by third parties;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not develop additional proprietary intellectual property that is patentable;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patents of third parties may have an adverse effect on our business.</w:t>
      </w:r>
    </w:p>
    <w:p>
      <w:pPr>
        <w:spacing w:after="0" w:line="222"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Should any of these events occur, they could significantly harm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40"/>
        <w:spacing w:after="0" w:line="307" w:lineRule="auto"/>
        <w:rPr>
          <w:sz w:val="20"/>
          <w:szCs w:val="20"/>
          <w:color w:val="auto"/>
        </w:rPr>
      </w:pPr>
      <w:r>
        <w:rPr>
          <w:rFonts w:ascii="Arial" w:cs="Arial" w:eastAsia="Arial" w:hAnsi="Arial"/>
          <w:sz w:val="17"/>
          <w:szCs w:val="17"/>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22" w:lineRule="exact"/>
        <w:rPr>
          <w:sz w:val="20"/>
          <w:szCs w:val="20"/>
          <w:color w:val="auto"/>
        </w:rPr>
      </w:pPr>
    </w:p>
    <w:p>
      <w:pPr>
        <w:ind w:right="160" w:firstLine="627"/>
        <w:spacing w:after="0" w:line="270" w:lineRule="auto"/>
        <w:rPr>
          <w:sz w:val="20"/>
          <w:szCs w:val="20"/>
          <w:color w:val="auto"/>
        </w:rPr>
      </w:pPr>
      <w:r>
        <w:rPr>
          <w:rFonts w:ascii="Arial" w:cs="Arial" w:eastAsia="Arial" w:hAnsi="Arial"/>
          <w:sz w:val="17"/>
          <w:szCs w:val="17"/>
          <w:color w:val="auto"/>
        </w:rPr>
        <w:t>We currently have rights to intellectual property, through licenses from third parties, to identify and develop certain product candidates, and we may add additional licenses in the future as we expand our product candidate pipeline. Although we have succeeded in licensing intellectual property from third-party licensors, including AbbVie, in the past, we cannot assure our stockholders that we will be able to in-license or acquire the rights to any potential product candidates from third parties on acceptable terms or at all.</w:t>
      </w:r>
    </w:p>
    <w:p>
      <w:pPr>
        <w:spacing w:after="0" w:line="165"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In addition, our license agreements may provide that our fields of use exclude particular fields. If we determine that rights to such fields are necessary to commercialize our product candidates or maintain our competitive advantage, we may need to obtain additional license rights in order to continue developing, manufacturing or marketing our product candidates.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72"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Various third parties practice in competitive areas and may have issued patents or patent applications that will issue as patents in the future, which could impede or preclude our ability to commercialize our product candidates. For any third-party patents that could be relevant to our product candidates, we rely in part on the “safe harbor” or research exemption under 35 U.S.C. § 271(e)(1), which exempts activities related to pursuing FDA approval for a drug product from patent infringement. However, while U.S. patent law provides such a “safe harbor” to our clinical product candidates under this provision, that exemption may expire when an NDA is submitted. Given the uncertainty of clinical trials, we cannot be certain of the timing of their completion and it is possible that we may submit an NDA for one of our future product candidates at a time when one or more relevant third-party patents is in force. It may therefore be necessary for us to use the patented or proprietary intellectual property of third parties to commercialize our products, in which case we would be required to obtain a license from these third parties. If we are unable to license such intellectual property, or if we are forced to license such intellectual property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intellectual property licensed to us.</w:t>
      </w:r>
    </w:p>
    <w:p>
      <w:pPr>
        <w:spacing w:after="0" w:line="182" w:lineRule="exact"/>
        <w:rPr>
          <w:sz w:val="20"/>
          <w:szCs w:val="20"/>
          <w:color w:val="auto"/>
        </w:rPr>
      </w:pPr>
    </w:p>
    <w:p>
      <w:pPr>
        <w:ind w:right="260" w:firstLine="627"/>
        <w:spacing w:after="0" w:line="266" w:lineRule="auto"/>
        <w:rPr>
          <w:sz w:val="20"/>
          <w:szCs w:val="20"/>
          <w:color w:val="auto"/>
        </w:rPr>
      </w:pPr>
      <w:r>
        <w:rPr>
          <w:rFonts w:ascii="Arial" w:cs="Arial" w:eastAsia="Arial" w:hAnsi="Arial"/>
          <w:sz w:val="17"/>
          <w:szCs w:val="17"/>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intellectual property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70" w:lineRule="exact"/>
        <w:rPr>
          <w:sz w:val="20"/>
          <w:szCs w:val="20"/>
          <w:color w:val="auto"/>
        </w:rPr>
      </w:pPr>
    </w:p>
    <w:p>
      <w:pPr>
        <w:ind w:right="40" w:firstLine="627"/>
        <w:spacing w:after="0" w:line="262" w:lineRule="auto"/>
        <w:rPr>
          <w:sz w:val="20"/>
          <w:szCs w:val="20"/>
          <w:color w:val="auto"/>
        </w:rPr>
      </w:pPr>
      <w:r>
        <w:rPr>
          <w:rFonts w:ascii="Arial" w:cs="Arial" w:eastAsia="Arial" w:hAnsi="Arial"/>
          <w:sz w:val="17"/>
          <w:szCs w:val="17"/>
          <w:color w:val="auto"/>
        </w:rPr>
        <w:t>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applicable product candidate, which could have a material adverse effect on our business, financial condition, results of operations and prospects.</w:t>
      </w:r>
    </w:p>
    <w:p>
      <w:pPr>
        <w:spacing w:after="0" w:line="173"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If we are unable to obtain rights to required third-party intellectual property rights or maintain the existing intellectual property rights we have, we may be required to expend significant time and resources to redesign our product candidates, or the methods for manufacturing them or to develop or license replacement intellectual property, all of which may not be feasible on a technical or commercial basis. If we are unable to do</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so, we may be unable to develop or commercialize the affected product candidates, which could harm our business, financial condition, results of operations, and prospects significantly.</w:t>
      </w:r>
    </w:p>
    <w:p>
      <w:pPr>
        <w:spacing w:after="0" w:line="141"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current and future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impede, or delay or prohibit the further development or commercialization of one or more potential product candidates that rely on such agreements.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Regulatory Compliance Matters</w:t>
      </w:r>
    </w:p>
    <w:p>
      <w:pPr>
        <w:spacing w:after="0" w:line="22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i w:val="1"/>
          <w:iCs w:val="1"/>
          <w:color w:val="auto"/>
        </w:rPr>
        <w:t>Our business operations and our relationships with healthcare providers, third-party payors, patients and other parties in the healthcare industry are subject, directly or indirectly, to significant regulation under a broad range of healthcare laws, including fraud and abuse laws. Any action against us for violation of such laws could harm our reputation and require significant resources for defense. If we are unable to comply, or have not fully complied, with such laws, we could face substantial penalties.</w:t>
      </w:r>
    </w:p>
    <w:p>
      <w:pPr>
        <w:spacing w:after="0" w:line="50" w:lineRule="exact"/>
        <w:rPr>
          <w:sz w:val="20"/>
          <w:szCs w:val="20"/>
          <w:color w:val="auto"/>
        </w:rPr>
      </w:pPr>
    </w:p>
    <w:p>
      <w:pPr>
        <w:ind w:right="160" w:firstLine="627"/>
        <w:spacing w:after="0" w:line="263" w:lineRule="auto"/>
        <w:rPr>
          <w:sz w:val="20"/>
          <w:szCs w:val="20"/>
          <w:color w:val="auto"/>
        </w:rPr>
      </w:pPr>
      <w:r>
        <w:rPr>
          <w:rFonts w:ascii="Arial" w:cs="Arial" w:eastAsia="Arial" w:hAnsi="Arial"/>
          <w:sz w:val="17"/>
          <w:szCs w:val="17"/>
          <w:color w:val="auto"/>
        </w:rPr>
        <w:t>Pharmaceutical manufacturers, and the parties with which such manufacturers interact, are subject to extensive and complex regulation under a broad range of healthcare laws. Such laws, some of which will apply only if and when we have a marketed product, constrain our business operations, including the research and development, manufacturing, distribution, sales and promotion of our product candidates and products, if any are approved in the future, as well as educational and charitable activities. Arrangements with healthcare providers, third-party payors, patients and other parties in the healthcare industry, which may have a significant impact on our business, are regulated by fraud and abuse and other healthcare laws. For more information, see the section titled “</w:t>
      </w:r>
      <w:r>
        <w:rPr>
          <w:rFonts w:ascii="Arial" w:cs="Arial" w:eastAsia="Arial" w:hAnsi="Arial"/>
          <w:sz w:val="17"/>
          <w:szCs w:val="17"/>
          <w:i w:val="1"/>
          <w:iCs w:val="1"/>
          <w:color w:val="auto"/>
        </w:rPr>
        <w:t>Business—Government Regulation—Other U.S. Healthcare Laws</w:t>
      </w:r>
      <w:r>
        <w:rPr>
          <w:rFonts w:ascii="Arial" w:cs="Arial" w:eastAsia="Arial" w:hAnsi="Arial"/>
          <w:sz w:val="17"/>
          <w:szCs w:val="17"/>
          <w:color w:val="auto"/>
        </w:rPr>
        <w:t xml:space="preserve"> </w:t>
      </w:r>
      <w:r>
        <w:rPr>
          <w:rFonts w:ascii="Arial" w:cs="Arial" w:eastAsia="Arial" w:hAnsi="Arial"/>
          <w:sz w:val="17"/>
          <w:szCs w:val="17"/>
          <w:i w:val="1"/>
          <w:iCs w:val="1"/>
          <w:color w:val="auto"/>
        </w:rPr>
        <w:t>and Compliance Requirements</w:t>
      </w:r>
      <w:r>
        <w:rPr>
          <w:rFonts w:ascii="Arial" w:cs="Arial" w:eastAsia="Arial" w:hAnsi="Arial"/>
          <w:sz w:val="17"/>
          <w:szCs w:val="17"/>
          <w:color w:val="auto"/>
        </w:rPr>
        <w:t>.”</w:t>
      </w:r>
    </w:p>
    <w:p>
      <w:pPr>
        <w:spacing w:after="0" w:line="171" w:lineRule="exact"/>
        <w:rPr>
          <w:sz w:val="20"/>
          <w:szCs w:val="20"/>
          <w:color w:val="auto"/>
        </w:rPr>
      </w:pPr>
    </w:p>
    <w:p>
      <w:pPr>
        <w:ind w:right="60" w:firstLine="627"/>
        <w:spacing w:after="0" w:line="264" w:lineRule="auto"/>
        <w:rPr>
          <w:sz w:val="20"/>
          <w:szCs w:val="20"/>
          <w:color w:val="auto"/>
        </w:rPr>
      </w:pPr>
      <w:r>
        <w:rPr>
          <w:rFonts w:ascii="Arial" w:cs="Arial" w:eastAsia="Arial" w:hAnsi="Arial"/>
          <w:sz w:val="17"/>
          <w:szCs w:val="17"/>
          <w:color w:val="auto"/>
        </w:rPr>
        <w:t>Healthcare laws regulating our business activities are broad and any exceptions may be narrow. Requirements may differ across jurisdictions. There may be limited guidance on the interpretation of the laws and their application to our specific activities. Interpretations of these laws by government enforcement agencies and courts are evolving. Efforts to ensure that our business operations will comply with applicable healthcare laws and regulations will involve substantial costs. We will need to develop and implement robust compliance policies and processes to seek to prevent and detect non-compliance and update such policies and processes as our operations and government expectations evolve, which will involve substantial and ongoing costs, and even with such policies and processes we cannot be certain to prevent non-compliance.</w:t>
      </w:r>
    </w:p>
    <w:p>
      <w:pPr>
        <w:spacing w:after="0" w:line="17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Given the broad scope, limited guidance and evolving government interpretations, our business activities may potentially be subject to challenge under these healthcare laws despite efforts to ensure compliance. Any action against us for violation of these laws, even if we successfully defend against it, could cause us to incur significant legal expenses and divert our management’s attention from the operation of our business. Such an action could also harm our reputation and adversely affect our business as a result.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b w:val="1"/>
          <w:bCs w:val="1"/>
          <w:i w:val="1"/>
          <w:iCs w:val="1"/>
          <w:color w:val="auto"/>
        </w:rPr>
        <w:t>Even if we obtain regulatory approvals for our product candidates or any future product candidates, they will remain subject to ongoing regulatory oversight.</w:t>
      </w:r>
    </w:p>
    <w:p>
      <w:pPr>
        <w:spacing w:after="0" w:line="22" w:lineRule="exact"/>
        <w:rPr>
          <w:sz w:val="20"/>
          <w:szCs w:val="20"/>
          <w:color w:val="auto"/>
        </w:rPr>
      </w:pPr>
    </w:p>
    <w:p>
      <w:pPr>
        <w:ind w:firstLine="627"/>
        <w:spacing w:after="0" w:line="260" w:lineRule="auto"/>
        <w:rPr>
          <w:sz w:val="20"/>
          <w:szCs w:val="20"/>
          <w:color w:val="auto"/>
        </w:rPr>
      </w:pPr>
      <w:r>
        <w:rPr>
          <w:rFonts w:ascii="Arial" w:cs="Arial" w:eastAsia="Arial" w:hAnsi="Arial"/>
          <w:sz w:val="17"/>
          <w:szCs w:val="17"/>
          <w:color w:val="auto"/>
        </w:rPr>
        <w:t>Even if we obtain any regulatory approvals for our product candidates or any future product candidates, such product candidates, once approved, will be subject to ongoing regulatory requirements applicable to manufacturing, labeling, packaging, storage, advertising, promoting, sampling, record-keeping and post-marketing activities, among other things. These requirements include submissions of safety and other post-marketing information and reports, registration, as well as continued compliance with cGMP and GCP requirements for any clinical trials that we conduct post-approval. Manufacturers of approved products and their facilities are subject to continual review and periodic and unannounced inspections by the FDA and other regulatory authorities for compliance with cGMP regulations and standards. Any regulatory approvals that we receive for our product candidates or any future product candidates may also be subject to a REMS, limitations on the approved indicated uses for which the drug may be marketed or to the conditions of approval, or requirements that we conduct potentially costly post-marketing testing, including additional trials and heightened surveillance to monitor the quality, safety and efficacy of the drug. An unsuccessful post-marketing study or failure to complete such a study could result in the withdrawal of marketing approval. We will further be required to promptly report any serious and unexpected adverse drug experiences and certain quality or production problems with our products to regulatory authorities along with other periodic reports.</w:t>
      </w:r>
    </w:p>
    <w:p>
      <w:pPr>
        <w:spacing w:after="0" w:line="386" w:lineRule="exact"/>
        <w:rPr>
          <w:sz w:val="20"/>
          <w:szCs w:val="20"/>
          <w:color w:val="auto"/>
        </w:rPr>
      </w:pPr>
    </w:p>
    <w:p>
      <w:pPr>
        <w:ind w:right="80" w:firstLine="627"/>
        <w:spacing w:after="0" w:line="260" w:lineRule="auto"/>
        <w:rPr>
          <w:sz w:val="20"/>
          <w:szCs w:val="20"/>
          <w:color w:val="auto"/>
        </w:rPr>
      </w:pPr>
      <w:r>
        <w:rPr>
          <w:rFonts w:ascii="Arial" w:cs="Arial" w:eastAsia="Arial" w:hAnsi="Arial"/>
          <w:sz w:val="17"/>
          <w:szCs w:val="17"/>
          <w:color w:val="auto"/>
        </w:rPr>
        <w:t>Any new legislation addressing drug safety issues could result in delays in product development or commercialization, or increased costs to ensure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including their sales force, with respect to off-label uses of products for which marketing approval has not been issued. However, companies may share truthful and not misleading information that is otherwise consistent with a product’s FDA approved labeling. The holder of an approved NDA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77"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In addition, drug manufacturers are subject to payment of annual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any product, if approved, such as adverse experiences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requesting revisions to the approved labeling to add new safety information, imposing of post-market studies or clinical trials to assess new safety risks or imposing distribution restrictions or other restrictions under a REMS program, requesting a recall or requiring withdrawal of the product from the market or suspension of manufacturing. If we fail to comply with applicable regulatory requirements following approval of any of our product candidates, a regulatory authority may:</w:t>
      </w:r>
    </w:p>
    <w:p>
      <w:pPr>
        <w:spacing w:after="0" w:line="71" w:lineRule="exact"/>
        <w:rPr>
          <w:sz w:val="20"/>
          <w:szCs w:val="20"/>
          <w:color w:val="auto"/>
        </w:rPr>
      </w:pPr>
    </w:p>
    <w:p>
      <w:pPr>
        <w:ind w:left="620" w:hanging="146"/>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issue an untitled letter or warning letter asserting that we are in violation of the law;</w:t>
      </w:r>
    </w:p>
    <w:p>
      <w:pPr>
        <w:spacing w:after="0" w:line="117" w:lineRule="exact"/>
        <w:rPr>
          <w:rFonts w:ascii="Arial" w:cs="Arial" w:eastAsia="Arial" w:hAnsi="Arial"/>
          <w:sz w:val="17"/>
          <w:szCs w:val="17"/>
          <w:color w:val="auto"/>
        </w:rPr>
      </w:pPr>
    </w:p>
    <w:p>
      <w:pPr>
        <w:ind w:left="640" w:right="460" w:hanging="166"/>
        <w:spacing w:after="0" w:line="298" w:lineRule="auto"/>
        <w:tabs>
          <w:tab w:leader="none" w:pos="6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seek an injunction or impose administrative, civil or criminal penalties or monetary fines, disgorgement of profits or revenue, warning letters or adverse publicity requirements;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suspend or withdraw regulatory approvals;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restrict product distribution or use, including full or partial holds on any ongoing or planned clinical trials;</w:t>
      </w:r>
    </w:p>
    <w:p>
      <w:pPr>
        <w:spacing w:after="0" w:line="117" w:lineRule="exact"/>
        <w:rPr>
          <w:rFonts w:ascii="Arial" w:cs="Arial" w:eastAsia="Arial" w:hAnsi="Arial"/>
          <w:sz w:val="17"/>
          <w:szCs w:val="17"/>
          <w:color w:val="auto"/>
        </w:rPr>
      </w:pPr>
    </w:p>
    <w:p>
      <w:pPr>
        <w:ind w:left="640" w:right="560" w:hanging="166"/>
        <w:spacing w:after="0" w:line="298" w:lineRule="auto"/>
        <w:tabs>
          <w:tab w:leader="none" w:pos="6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refuse to approve a pending NDA or comparable foreign marketing application (or any supplements thereto) submitted by us or our strategic partners;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restrict the marketing or manufacturing of the drug;</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20" w:hanging="146"/>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seize or detain the drug or otherwise require the withdrawal of the drug from the market;</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refuse to permit the import or export of product candidates; or</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refuse to allow us to enter into supply contracts, including government contracts.</w:t>
      </w:r>
    </w:p>
    <w:p>
      <w:pPr>
        <w:spacing w:after="0" w:line="222" w:lineRule="exact"/>
        <w:rPr>
          <w:sz w:val="20"/>
          <w:szCs w:val="20"/>
          <w:color w:val="auto"/>
        </w:rPr>
      </w:pPr>
    </w:p>
    <w:p>
      <w:pPr>
        <w:ind w:right="40" w:firstLine="627"/>
        <w:spacing w:after="0" w:line="277"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and other reform initiatives may have an adverse impact on our business and results of operations.</w:t>
      </w:r>
    </w:p>
    <w:p>
      <w:pPr>
        <w:spacing w:after="0" w:line="118" w:lineRule="exact"/>
        <w:rPr>
          <w:sz w:val="20"/>
          <w:szCs w:val="20"/>
          <w:color w:val="auto"/>
        </w:rPr>
      </w:pPr>
    </w:p>
    <w:p>
      <w:pPr>
        <w:ind w:right="100" w:firstLine="627"/>
        <w:spacing w:after="0" w:line="263" w:lineRule="auto"/>
        <w:rPr>
          <w:sz w:val="20"/>
          <w:szCs w:val="20"/>
          <w:color w:val="auto"/>
        </w:rPr>
      </w:pPr>
      <w:r>
        <w:rPr>
          <w:rFonts w:ascii="Arial" w:cs="Arial" w:eastAsia="Arial" w:hAnsi="Arial"/>
          <w:sz w:val="17"/>
          <w:szCs w:val="17"/>
          <w:color w:val="auto"/>
        </w:rPr>
        <w:t>In the U.S.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reform efforts will be successful, such efforts may result in more rigorous coverage criteria, additional downward pressure on the price that we, or our future collaborators, may receive for any approved products, or in other consequences that may adversely affect our ability to achieve or maintain profitability. For more information, see the section titled “</w:t>
      </w:r>
      <w:r>
        <w:rPr>
          <w:rFonts w:ascii="Arial" w:cs="Arial" w:eastAsia="Arial" w:hAnsi="Arial"/>
          <w:sz w:val="17"/>
          <w:szCs w:val="17"/>
          <w:i w:val="1"/>
          <w:iCs w:val="1"/>
          <w:color w:val="auto"/>
        </w:rPr>
        <w:t>Business—Government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Regulation—Healthcare Reform</w:t>
      </w:r>
      <w:r>
        <w:rPr>
          <w:rFonts w:ascii="Arial" w:cs="Arial" w:eastAsia="Arial" w:hAnsi="Arial"/>
          <w:sz w:val="17"/>
          <w:szCs w:val="17"/>
          <w:color w:val="auto"/>
        </w:rPr>
        <w:t>.”</w:t>
      </w:r>
    </w:p>
    <w:p>
      <w:pPr>
        <w:spacing w:after="0" w:line="171"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Among policy makers and third-party payors in the U.S. and elsewhere, there is significant and ongoing interest in implementing changes in the delivery and payment for healthcare services in order to contain healthcare costs, improve quality and/or expand access. In the U.S., the pharmaceutical industry has been a particular focus of these efforts and has been significantly affected by major legislative initiatives and changing policies and practices of the third-party payors. There has also been heightened governmental scrutiny in the U.S. of pharmaceutical pricing practices considering the rising cost of prescription drugs and biologics. Such scrutiny has resulted in several congressional inquiries and proposed and enacted legislation designed to, among other things, bring more transparency to product pricing, review the relationship between pricing and manufacturer patient support programs, or reform government program reimbursement methodologies for products.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ind w:right="100" w:firstLine="627"/>
        <w:spacing w:after="0" w:line="263" w:lineRule="auto"/>
        <w:rPr>
          <w:sz w:val="20"/>
          <w:szCs w:val="20"/>
          <w:color w:val="auto"/>
        </w:rPr>
      </w:pPr>
      <w:r>
        <w:rPr>
          <w:rFonts w:ascii="Arial" w:cs="Arial" w:eastAsia="Arial" w:hAnsi="Arial"/>
          <w:sz w:val="17"/>
          <w:szCs w:val="17"/>
          <w:color w:val="auto"/>
        </w:rPr>
        <w:t>The U.S. has recently taken steps intended to reduce drug prices and establish and communicate most-favored-nation price targets to pharmaceutical manufacturers to bring prices for American patients in line with comparably developed nations. Several large pharmaceutical companies have already started to voluntarily reduce their pricing on select drugs indexed to lower prices around the globe. In addition, at the state level, legislatures have increasingly passed legislation and implemented regulations with similar goals,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w:t>
      </w:r>
    </w:p>
    <w:p>
      <w:pPr>
        <w:spacing w:after="0" w:line="171" w:lineRule="exact"/>
        <w:rPr>
          <w:sz w:val="20"/>
          <w:szCs w:val="20"/>
          <w:color w:val="auto"/>
        </w:rPr>
      </w:pPr>
    </w:p>
    <w:p>
      <w:pPr>
        <w:ind w:right="120" w:firstLine="627"/>
        <w:spacing w:after="0" w:line="266" w:lineRule="auto"/>
        <w:rPr>
          <w:sz w:val="20"/>
          <w:szCs w:val="20"/>
          <w:color w:val="auto"/>
        </w:rPr>
      </w:pPr>
      <w:r>
        <w:rPr>
          <w:rFonts w:ascii="Arial" w:cs="Arial" w:eastAsia="Arial" w:hAnsi="Arial"/>
          <w:sz w:val="17"/>
          <w:szCs w:val="17"/>
          <w:color w:val="auto"/>
        </w:rPr>
        <w:t>Adoption of new legislation at the federal or state level could affect demand for, or pricing of, any future products if approved for sale. We cannot, however, predict the ultimate content, timing or effect of any federal and state reform efforts. There is no assurance that federal or state healthcare reform will not adversely affect our future business and financial results. Additionally, implementation by third party payors of policies and practices to limit coverage, manage utilization, reduce payment of drug products could adversely affect our ability to sell our products profitably. All these efforts may prevent us from being able to generate revenue, attain profitability or commercialize our drugs.</w:t>
      </w:r>
    </w:p>
    <w:p>
      <w:pPr>
        <w:spacing w:after="0" w:line="170" w:lineRule="exact"/>
        <w:rPr>
          <w:sz w:val="20"/>
          <w:szCs w:val="20"/>
          <w:color w:val="auto"/>
        </w:rPr>
      </w:pPr>
    </w:p>
    <w:p>
      <w:pPr>
        <w:jc w:val="both"/>
        <w:ind w:right="180" w:firstLine="627"/>
        <w:spacing w:after="0" w:line="277" w:lineRule="auto"/>
        <w:rPr>
          <w:sz w:val="20"/>
          <w:szCs w:val="20"/>
          <w:color w:val="auto"/>
        </w:rPr>
      </w:pPr>
      <w:r>
        <w:rPr>
          <w:rFonts w:ascii="Arial" w:cs="Arial" w:eastAsia="Arial" w:hAnsi="Arial"/>
          <w:sz w:val="17"/>
          <w:szCs w:val="17"/>
          <w:color w:val="auto"/>
        </w:rPr>
        <w:t>In addition, FDA regulations and guidance may be revised or reinterpreted by the FDA in ways that may significantly affect our business and our products. If executive actions impose restrictions on the FDA’s ability to engage in oversight and implementation activities in the normal course, our business may be negatively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impacted. 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 Such changes could, among other things, require:</w:t>
      </w:r>
    </w:p>
    <w:p>
      <w:pPr>
        <w:spacing w:after="0" w:line="54" w:lineRule="exact"/>
        <w:rPr>
          <w:sz w:val="20"/>
          <w:szCs w:val="20"/>
          <w:color w:val="auto"/>
        </w:rPr>
      </w:pPr>
    </w:p>
    <w:p>
      <w:pPr>
        <w:ind w:left="620" w:hanging="14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significant changes to the design of planned clinical trials that impact their duration or cost;</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additional clinical trials to be conducted prior to obtaining approval;</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to manufacturing methods;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recalls, replacements, or discontinuance of one or more of our products, if approved;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additional recordkeeping.</w:t>
      </w:r>
    </w:p>
    <w:p>
      <w:pPr>
        <w:spacing w:after="0" w:line="222" w:lineRule="exact"/>
        <w:rPr>
          <w:sz w:val="20"/>
          <w:szCs w:val="20"/>
          <w:color w:val="auto"/>
        </w:rPr>
      </w:pPr>
    </w:p>
    <w:p>
      <w:pPr>
        <w:ind w:right="40" w:firstLine="627"/>
        <w:spacing w:after="0" w:line="270"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approvals for any of our product candidates would harm our business, financial condition, and results of operations. Further, we cannot predict the likelihood, nature, or extent of healthcare reform initiatives that may arise from future legislation or administrative action.</w:t>
      </w:r>
    </w:p>
    <w:p>
      <w:pPr>
        <w:spacing w:after="0" w:line="165"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General legislative cost control measures may also affect reimbursement for our product candidates. For example, the Budget Control Act of 2011, as amended, resulted in the imposition of reductions in Medicare (but not Medicaid) payments to providers in 2013 and will remain in effect into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120"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b w:val="1"/>
          <w:bCs w:val="1"/>
          <w:i w:val="1"/>
          <w:iCs w:val="1"/>
          <w:color w:val="auto"/>
        </w:rPr>
        <w:t>We face substantial competition. Our main competitor in the CF market holds substantial market share and has substantially greater resources than we do. We may not be able to compete successfully in this environment and, in particular, against a much larger competitor.</w:t>
      </w:r>
    </w:p>
    <w:p>
      <w:pPr>
        <w:spacing w:after="0" w:line="42" w:lineRule="exact"/>
        <w:rPr>
          <w:sz w:val="20"/>
          <w:szCs w:val="20"/>
          <w:color w:val="auto"/>
        </w:rPr>
      </w:pPr>
    </w:p>
    <w:p>
      <w:pPr>
        <w:ind w:right="40" w:firstLine="627"/>
        <w:spacing w:after="0" w:line="266" w:lineRule="auto"/>
        <w:rPr>
          <w:sz w:val="20"/>
          <w:szCs w:val="20"/>
          <w:color w:val="auto"/>
        </w:rPr>
      </w:pPr>
      <w:r>
        <w:rPr>
          <w:rFonts w:ascii="Arial" w:cs="Arial" w:eastAsia="Arial" w:hAnsi="Arial"/>
          <w:sz w:val="17"/>
          <w:szCs w:val="17"/>
          <w:color w:val="auto"/>
        </w:rPr>
        <w:t>The biotechnology and pharmaceutical industries are characterized by rapid advances, intense competition and a strong emphasis on proprietary and novel products and product candidates. We face substantial competition with respect to our current product candidates and will face competition with respect to any product candidates that we may seek to develop or commercialize in the future, from many different sources, including major pharmaceutical and biotechnology companies, academic institutions, governmental agencies, consortiums and public and private research institutions.</w:t>
      </w:r>
    </w:p>
    <w:p>
      <w:pPr>
        <w:spacing w:after="0" w:line="170" w:lineRule="exact"/>
        <w:rPr>
          <w:sz w:val="20"/>
          <w:szCs w:val="20"/>
          <w:color w:val="auto"/>
        </w:rPr>
      </w:pPr>
    </w:p>
    <w:p>
      <w:pPr>
        <w:ind w:right="20" w:firstLine="627"/>
        <w:spacing w:after="0" w:line="259" w:lineRule="auto"/>
        <w:rPr>
          <w:sz w:val="20"/>
          <w:szCs w:val="20"/>
          <w:color w:val="auto"/>
        </w:rPr>
      </w:pPr>
      <w:r>
        <w:rPr>
          <w:rFonts w:ascii="Arial" w:cs="Arial" w:eastAsia="Arial" w:hAnsi="Arial"/>
          <w:sz w:val="17"/>
          <w:szCs w:val="17"/>
          <w:color w:val="auto"/>
        </w:rPr>
        <w:t>In particular, we expect to compete with Vertex, which has multiple approved products, as well as additional product candidates in development, for the treatment of CF that would compete with our product candidates, if approved. Vertex holds substantial market share in our product candidates’ proposed markets, and has substantially greater name recognition, financial resources and expertise in research and development, manufacturing, preclinical testing, conducting clinical trials, obtaining regulatory approvals and marketing approved products than we do. Our commercial opportunity could be reduced or eliminated if Vertex or another competitor develops and commercializes products that are safer or more effective, have fewer or less severe side effects, or are more convenient or are less expensive than any product candidate that we may develop. Vertex or another competitor may also obtain approval by FDA or comparable foreign regulatory authorities for its product candidates currently in development more rapidly than we may obtain approval for our product candidates. Competing products could present superior treatment alternatives and could render our product candidates obsolete or noncompetitive before we recover the expense of developing and commercializing our product candidates. Even if one or more of our product candidates achieves marketing approval, it may be priced at a significant premium over competitive products, or otherwise not achieve broad market access, resulting in reduced competitiveness. If we do not compete successfully, we may not generate or derive sufficient revenue from any product candidate for which we obtain marketing approval and may not become or remain profitable.</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 w:firstLine="627"/>
        <w:spacing w:after="0" w:line="262" w:lineRule="auto"/>
        <w:rPr>
          <w:sz w:val="20"/>
          <w:szCs w:val="20"/>
          <w:color w:val="auto"/>
        </w:rPr>
      </w:pPr>
      <w:r>
        <w:rPr>
          <w:rFonts w:ascii="Arial" w:cs="Arial" w:eastAsia="Arial" w:hAnsi="Arial"/>
          <w:sz w:val="17"/>
          <w:szCs w:val="17"/>
          <w:color w:val="auto"/>
        </w:rPr>
        <w:t>Smaller or early-stage companies could also prove to be significant competitors, particularly through collaborative arrangements with large and established companies. This may include other small-molecule drug discovery companies using similar approaches or other types of therapies, such as gene therapy, gene editing and/or mRNA therapies. If successful, gene therapy, gene editing, and/or mRNA therapies could repair or replace the defective CFTR gene or produce functional CFTR protein and reduce or eliminate the need for CFTR modulators. These competitors also compete with us in recruiting and retaining qualified scientific and management personnel and establishing clinical trial sites and patient registration for clinical trials, as well as in acquiring intellectual property complementary to, or that may be necessary for, our programs. If we are unable to compete effectively, our opportunity to generate revenue from the sale of our products we may develop, if approved, could be adversely affected.</w:t>
      </w:r>
    </w:p>
    <w:p>
      <w:pPr>
        <w:spacing w:after="0" w:line="277" w:lineRule="exact"/>
        <w:rPr>
          <w:sz w:val="20"/>
          <w:szCs w:val="20"/>
          <w:color w:val="auto"/>
        </w:rPr>
      </w:pPr>
    </w:p>
    <w:p>
      <w:pPr>
        <w:ind w:right="900"/>
        <w:spacing w:after="0" w:line="307" w:lineRule="auto"/>
        <w:rPr>
          <w:sz w:val="20"/>
          <w:szCs w:val="20"/>
          <w:color w:val="auto"/>
        </w:rPr>
      </w:pPr>
      <w:r>
        <w:rPr>
          <w:rFonts w:ascii="Arial" w:cs="Arial" w:eastAsia="Arial" w:hAnsi="Arial"/>
          <w:sz w:val="17"/>
          <w:szCs w:val="17"/>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22" w:lineRule="exact"/>
        <w:rPr>
          <w:sz w:val="20"/>
          <w:szCs w:val="20"/>
          <w:color w:val="auto"/>
        </w:rPr>
      </w:pPr>
    </w:p>
    <w:p>
      <w:pPr>
        <w:ind w:firstLine="627"/>
        <w:spacing w:after="0" w:line="260" w:lineRule="auto"/>
        <w:rPr>
          <w:sz w:val="20"/>
          <w:szCs w:val="20"/>
          <w:color w:val="auto"/>
        </w:rPr>
      </w:pPr>
      <w:r>
        <w:rPr>
          <w:rFonts w:ascii="Arial" w:cs="Arial" w:eastAsia="Arial" w:hAnsi="Arial"/>
          <w:sz w:val="17"/>
          <w:szCs w:val="17"/>
          <w:color w:val="auto"/>
        </w:rPr>
        <w:t>If any of our product candidates receive marketing approval, they may nonetheless fail to gain sufficient market acceptance by physicians, patients, third-party payors and others in the medical community. There is currently a well-established standard of care for CF, Trikafta, with which physicians, CF patients and payors are very familiar and for which an established benefit-risk profile exists. In addition, in December 2024, the FDA approved Alyftrek, which targets the same mechanisms as Trikafta. Even if our product candidates are successful in registrational clinical trials, they may not be successful in displacing the standard of care if we are unable to demonstrate competitive efficacy, safety, ease of administration and/or cost-effectiveness. For example, physicians may be reluctant or unwilling to take their patients off their current medication and switch their treatment regimen to our product candidates, if approved, if the current medication is effective. Further, patients often acclimate to the treatment regimen that they are currently taking and may not want to switch unless recommended to do so by their physician for clinical reasons or required to do so due to lack of coverage and adequate reimbursement. Even if we are able to demonstrate our product candidates’ safety and efficacy to the FDA and other regulators and receive approval, concerns in the medical community related to the comparative efficacy or side effect profile of our products may hinder market acceptance and uptake.</w:t>
      </w:r>
    </w:p>
    <w:p>
      <w:pPr>
        <w:spacing w:after="0" w:line="177" w:lineRule="exact"/>
        <w:rPr>
          <w:sz w:val="20"/>
          <w:szCs w:val="20"/>
          <w:color w:val="auto"/>
        </w:rPr>
      </w:pPr>
    </w:p>
    <w:p>
      <w:pPr>
        <w:ind w:right="280" w:firstLine="627"/>
        <w:spacing w:after="0" w:line="270" w:lineRule="auto"/>
        <w:rPr>
          <w:sz w:val="20"/>
          <w:szCs w:val="20"/>
          <w:color w:val="auto"/>
        </w:rPr>
      </w:pPr>
      <w:r>
        <w:rPr>
          <w:rFonts w:ascii="Arial" w:cs="Arial" w:eastAsia="Arial" w:hAnsi="Arial"/>
          <w:sz w:val="17"/>
          <w:szCs w:val="17"/>
          <w:color w:val="auto"/>
        </w:rPr>
        <w:t>Efforts to educate the medical community and third-party payors regarding the benefits of our product candidates, if approved, may require significant resources, including management time and financial resources, and may not be successful. If our product candidates do not achieve an adequate level of market acceptance, we may not generate significant revenue and we may not become profitable. The degree of market acceptance of our product candidates, if approved for commercial sale, will depend on a number of factors, including:</w:t>
      </w:r>
    </w:p>
    <w:p>
      <w:pPr>
        <w:spacing w:after="0" w:line="60" w:lineRule="exact"/>
        <w:rPr>
          <w:sz w:val="20"/>
          <w:szCs w:val="20"/>
          <w:color w:val="auto"/>
        </w:rPr>
      </w:pPr>
    </w:p>
    <w:p>
      <w:pPr>
        <w:ind w:left="620" w:hanging="14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efficacy, safety and potential advantages compared to alternative treatments;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whether a product candidate is approved, if ever, as an add-on to standard of care or as part of a proprietary combination therapy;</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offer our products at competitive prices;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117" w:lineRule="exact"/>
        <w:rPr>
          <w:rFonts w:ascii="Arial" w:cs="Arial" w:eastAsia="Arial" w:hAnsi="Arial"/>
          <w:sz w:val="17"/>
          <w:szCs w:val="17"/>
          <w:color w:val="auto"/>
        </w:rPr>
      </w:pPr>
    </w:p>
    <w:p>
      <w:pPr>
        <w:ind w:left="640" w:right="560" w:hanging="166"/>
        <w:spacing w:after="0" w:line="298" w:lineRule="auto"/>
        <w:tabs>
          <w:tab w:leader="none" w:pos="6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product labeling or product insert requirements of the FDA or comparable foreign regulatory authorities, including any limitations or warnings contained in a product’s approved labeling, including any boxed warning;</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product’s acceptance into standard of care treatment algorithms by medical societies that could affect payor and physician uptake;</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effectiveness of sales and marketing efforts, and the strength of sales, marketing and distribution support;</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 for any product candidates, once approved;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and of physicians to prescribe, the product;</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restrictions on the use of our products together with other medications; and</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potential product liability claims and unfavorable publicity related to our products.</w:t>
      </w:r>
    </w:p>
    <w:p>
      <w:pPr>
        <w:spacing w:after="0" w:line="222" w:lineRule="exact"/>
        <w:rPr>
          <w:sz w:val="20"/>
          <w:szCs w:val="20"/>
          <w:color w:val="auto"/>
        </w:rPr>
      </w:pPr>
    </w:p>
    <w:p>
      <w:pPr>
        <w:ind w:right="460" w:firstLine="627"/>
        <w:spacing w:after="0" w:line="298" w:lineRule="auto"/>
        <w:rPr>
          <w:sz w:val="20"/>
          <w:szCs w:val="20"/>
          <w:color w:val="auto"/>
        </w:rPr>
      </w:pPr>
      <w:r>
        <w:rPr>
          <w:rFonts w:ascii="Arial" w:cs="Arial" w:eastAsia="Arial" w:hAnsi="Arial"/>
          <w:sz w:val="17"/>
          <w:szCs w:val="17"/>
          <w:color w:val="auto"/>
        </w:rPr>
        <w:t>Any failure by one or more of our product candidates that obtains regulatory approvals to achieve market acceptance or commercial success would adversely affect our business prospects.</w:t>
      </w:r>
    </w:p>
    <w:p>
      <w:pPr>
        <w:spacing w:after="0" w:line="246" w:lineRule="exact"/>
        <w:rPr>
          <w:sz w:val="20"/>
          <w:szCs w:val="20"/>
          <w:color w:val="auto"/>
        </w:rPr>
      </w:pPr>
    </w:p>
    <w:p>
      <w:pPr>
        <w:ind w:right="1000"/>
        <w:spacing w:after="0" w:line="308" w:lineRule="auto"/>
        <w:rPr>
          <w:sz w:val="20"/>
          <w:szCs w:val="20"/>
          <w:color w:val="auto"/>
        </w:rPr>
      </w:pPr>
      <w:r>
        <w:rPr>
          <w:rFonts w:ascii="Arial" w:cs="Arial" w:eastAsia="Arial" w:hAnsi="Arial"/>
          <w:sz w:val="17"/>
          <w:szCs w:val="17"/>
          <w:b w:val="1"/>
          <w:bCs w:val="1"/>
          <w:i w:val="1"/>
          <w:iCs w:val="1"/>
          <w:color w:val="auto"/>
        </w:rPr>
        <w:t>The success of our product candidates or any future product candidate will depend significantly on coverage and adequate reimbursement by third party payors or the willingness of patients to pay for these products if not covered.</w:t>
      </w:r>
    </w:p>
    <w:p>
      <w:pPr>
        <w:spacing w:after="0" w:line="20" w:lineRule="exact"/>
        <w:rPr>
          <w:sz w:val="20"/>
          <w:szCs w:val="20"/>
          <w:color w:val="auto"/>
        </w:rPr>
      </w:pPr>
    </w:p>
    <w:p>
      <w:pPr>
        <w:ind w:right="40" w:firstLine="627"/>
        <w:spacing w:after="0" w:line="261" w:lineRule="auto"/>
        <w:rPr>
          <w:sz w:val="20"/>
          <w:szCs w:val="20"/>
          <w:color w:val="auto"/>
        </w:rPr>
      </w:pPr>
      <w:r>
        <w:rPr>
          <w:rFonts w:ascii="Arial" w:cs="Arial" w:eastAsia="Arial" w:hAnsi="Arial"/>
          <w:sz w:val="17"/>
          <w:szCs w:val="17"/>
          <w:color w:val="auto"/>
        </w:rPr>
        <w:t>We believe that for any product candidates which may be approved, our success depends on obtaining and maintaining coverage and adequate reimbursement for such products for their respective approved indications, and the extent to which patients will be willing to pay out-of-pocket for such products in the absence of reimbursement for all or part of the cost. Accordingly, we will need to establish a coverage and reimbursement strategy for any approved product candidate.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Government and private third-party payors decide which products they will cover and establish reimbursement levels. Coverage and reimbursement varies among third party payors and new products face significant challenges in obtaining and maintaining coverage and adequate reimbursement, particularly if approved for indications with established treatments already on the market. For more information, see the section titled “</w:t>
      </w:r>
      <w:r>
        <w:rPr>
          <w:rFonts w:ascii="Arial" w:cs="Arial" w:eastAsia="Arial" w:hAnsi="Arial"/>
          <w:sz w:val="17"/>
          <w:szCs w:val="17"/>
          <w:i w:val="1"/>
          <w:iCs w:val="1"/>
          <w:color w:val="auto"/>
        </w:rPr>
        <w:t>Business— Government Regulation—</w:t>
      </w:r>
      <w:r>
        <w:rPr>
          <w:rFonts w:ascii="Arial" w:cs="Arial" w:eastAsia="Arial" w:hAnsi="Arial"/>
          <w:sz w:val="17"/>
          <w:szCs w:val="17"/>
          <w:color w:val="auto"/>
        </w:rPr>
        <w:t xml:space="preserve"> </w:t>
      </w:r>
      <w:r>
        <w:rPr>
          <w:rFonts w:ascii="Arial" w:cs="Arial" w:eastAsia="Arial" w:hAnsi="Arial"/>
          <w:sz w:val="17"/>
          <w:szCs w:val="17"/>
          <w:i w:val="1"/>
          <w:iCs w:val="1"/>
          <w:color w:val="auto"/>
        </w:rPr>
        <w:t>Coverage and Reimbursement.</w:t>
      </w:r>
      <w:r>
        <w:rPr>
          <w:rFonts w:ascii="Arial" w:cs="Arial" w:eastAsia="Arial" w:hAnsi="Arial"/>
          <w:sz w:val="17"/>
          <w:szCs w:val="17"/>
          <w:color w:val="auto"/>
        </w:rPr>
        <w:t>”</w:t>
      </w:r>
    </w:p>
    <w:p>
      <w:pPr>
        <w:spacing w:after="0" w:line="172" w:lineRule="exact"/>
        <w:rPr>
          <w:sz w:val="20"/>
          <w:szCs w:val="20"/>
          <w:color w:val="auto"/>
        </w:rPr>
      </w:pPr>
    </w:p>
    <w:p>
      <w:pPr>
        <w:ind w:right="200" w:firstLine="627"/>
        <w:spacing w:after="0" w:line="264"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third-party payors have attempted to control costs by limiting coverage for certain products, managing utilization of covered products and restricting the amount of reimbursement for covered products. Within the U.S., net prices for drugs may be reduced by mandatory discounts or rebates required by government healthcare programs or requested by private payors in exchange for favorable coverage.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ind w:right="80" w:firstLine="627"/>
        <w:spacing w:after="0" w:line="270" w:lineRule="auto"/>
        <w:rPr>
          <w:sz w:val="20"/>
          <w:szCs w:val="20"/>
          <w:color w:val="auto"/>
        </w:rPr>
      </w:pPr>
      <w:r>
        <w:rPr>
          <w:rFonts w:ascii="Arial" w:cs="Arial" w:eastAsia="Arial" w:hAnsi="Arial"/>
          <w:sz w:val="17"/>
          <w:szCs w:val="17"/>
          <w:color w:val="auto"/>
        </w:rPr>
        <w:t>There can be no assurance that our product candidates, even if they are approved for sale in the U.S.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for our product candidates may be smaller than we estimate.</w:t>
      </w:r>
    </w:p>
    <w:p>
      <w:pPr>
        <w:spacing w:after="0" w:line="118"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Our estimates of the potential market opportunity for our product candidates include several key assumptions, based on our industry knowledge, industry publications and third-party research reports. These assumptions include the number of patients who have CF, as well as the estimated reimbursement levels for each product candidate, if approved. While we believe our assumptions and the data underlying our estimates are reasonable,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Further, new studies may change the estimated incidence or prevalence of these diseases, and the potentially addressable patient population for our product candidates may not ultimately be amenable to treatment with our product candidates. If the actual market for any product candidates we may develop is smaller than we estimate, our revenues, if any, may be limited and it may be more difficult for us to achieve or maintain profitability.</w:t>
      </w:r>
    </w:p>
    <w:p>
      <w:pPr>
        <w:spacing w:after="0" w:line="28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Clinical trial and product liability lawsuits against us could divert our resources, cause us to incur substantial liabilities and limit commercialization of any products that we may develop.</w:t>
      </w:r>
    </w:p>
    <w:p>
      <w:pPr>
        <w:spacing w:after="0" w:line="20" w:lineRule="exact"/>
        <w:rPr>
          <w:sz w:val="20"/>
          <w:szCs w:val="20"/>
          <w:color w:val="auto"/>
        </w:rPr>
      </w:pPr>
    </w:p>
    <w:p>
      <w:pPr>
        <w:ind w:right="360" w:firstLine="627"/>
        <w:spacing w:after="0" w:line="298"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will face an even greater risk if we commercially sell any</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products that we may develop, especially if our products are prescribed for off-label uses (even if we do not promote such uses).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 If we cannot successfully defend ourselves against claims that our product candidates caused injuries, we will incur substantial liabilities. Regardless of merit or eventual outcome, liability claims may result in:</w:t>
      </w:r>
    </w:p>
    <w:p>
      <w:pPr>
        <w:spacing w:after="0" w:line="67" w:lineRule="exact"/>
        <w:rPr>
          <w:sz w:val="20"/>
          <w:szCs w:val="20"/>
          <w:color w:val="auto"/>
        </w:rPr>
      </w:pPr>
    </w:p>
    <w:p>
      <w:pPr>
        <w:ind w:left="620" w:hanging="14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decreased demand for any product candidates that we may develop;</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termination of clinical trials;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substantial monetary awards paid to trial participants or patients;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reduced resources of our management to pursue our business strategy;</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decline in our stock price.</w:t>
      </w:r>
    </w:p>
    <w:p>
      <w:pPr>
        <w:spacing w:after="0" w:line="222" w:lineRule="exact"/>
        <w:rPr>
          <w:sz w:val="20"/>
          <w:szCs w:val="20"/>
          <w:color w:val="auto"/>
        </w:rPr>
      </w:pPr>
    </w:p>
    <w:p>
      <w:pPr>
        <w:ind w:firstLine="627"/>
        <w:spacing w:after="0" w:line="265" w:lineRule="auto"/>
        <w:rPr>
          <w:sz w:val="20"/>
          <w:szCs w:val="20"/>
          <w:color w:val="auto"/>
        </w:rPr>
      </w:pPr>
      <w:r>
        <w:rPr>
          <w:rFonts w:ascii="Arial" w:cs="Arial" w:eastAsia="Arial" w:hAnsi="Arial"/>
          <w:sz w:val="17"/>
          <w:szCs w:val="17"/>
          <w:color w:val="auto"/>
        </w:rPr>
        <w:t>Although we maintain clinical trial liability insurance coverage, such insurance may not be adequate to cover all liabilities that we may incur. We may need to increase our insurance coverage as we expand our clinical trials. We intend to expand our insurance coverage for products to include the sale of commercial products if we obtain marketing approval on any current or potential product candidates, but we may be unable to obtain commercially reasonable product liability insurance for any products approved for marketing. Insurance coverage is increasingly expensive. We may not be able to maintain insurance coverage at a reasonable cost or in an amount adequate to satisfy any liability that may arise.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Operations, Employee Matters and Managing Our Growth</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18" w:lineRule="exact"/>
        <w:rPr>
          <w:sz w:val="20"/>
          <w:szCs w:val="20"/>
          <w:color w:val="auto"/>
        </w:rPr>
      </w:pPr>
    </w:p>
    <w:p>
      <w:pPr>
        <w:ind w:right="100" w:firstLine="627"/>
        <w:spacing w:after="0" w:line="270"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Each of our executive officers may currently terminate their employment with us at any time. We do not maintain “key person” insurance for any of our executives or employees. This lack of insurance means that we may not have adequate compensation for the loss of the services of these individuals.</w:t>
      </w:r>
    </w:p>
    <w:p>
      <w:pPr>
        <w:spacing w:after="0" w:line="165" w:lineRule="exact"/>
        <w:rPr>
          <w:sz w:val="20"/>
          <w:szCs w:val="20"/>
          <w:color w:val="auto"/>
        </w:rPr>
      </w:pPr>
    </w:p>
    <w:p>
      <w:pPr>
        <w:ind w:right="20" w:firstLine="627"/>
        <w:spacing w:after="0" w:line="261"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approvals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are unable to continue to attract and retain high quality personnel, our ability to pursue our growth strategy will be limited.</w:t>
      </w:r>
    </w:p>
    <w:p>
      <w:pPr>
        <w:spacing w:after="0" w:line="222" w:lineRule="exact"/>
        <w:rPr>
          <w:sz w:val="20"/>
          <w:szCs w:val="20"/>
          <w:color w:val="auto"/>
        </w:rPr>
      </w:pPr>
    </w:p>
    <w:p>
      <w:pPr>
        <w:ind w:right="80" w:firstLine="627"/>
        <w:spacing w:after="0" w:line="266" w:lineRule="auto"/>
        <w:rPr>
          <w:sz w:val="20"/>
          <w:szCs w:val="20"/>
          <w:color w:val="auto"/>
        </w:rPr>
      </w:pPr>
      <w:r>
        <w:rPr>
          <w:rFonts w:ascii="Arial" w:cs="Arial" w:eastAsia="Arial" w:hAnsi="Arial"/>
          <w:sz w:val="17"/>
          <w:szCs w:val="17"/>
          <w:color w:val="auto"/>
        </w:rPr>
        <w:t>Further,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w:t>
      </w:r>
    </w:p>
    <w:p>
      <w:pPr>
        <w:spacing w:after="0" w:line="27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20" w:lineRule="exact"/>
        <w:rPr>
          <w:sz w:val="20"/>
          <w:szCs w:val="20"/>
          <w:color w:val="auto"/>
        </w:rPr>
      </w:pPr>
    </w:p>
    <w:p>
      <w:pPr>
        <w:ind w:right="60" w:firstLine="627"/>
        <w:spacing w:after="0" w:line="261" w:lineRule="auto"/>
        <w:rPr>
          <w:sz w:val="20"/>
          <w:szCs w:val="20"/>
          <w:color w:val="auto"/>
        </w:rPr>
      </w:pPr>
      <w:r>
        <w:rPr>
          <w:rFonts w:ascii="Arial" w:cs="Arial" w:eastAsia="Arial" w:hAnsi="Arial"/>
          <w:sz w:val="17"/>
          <w:szCs w:val="17"/>
          <w:color w:val="auto"/>
        </w:rPr>
        <w:t>As we continue to build our organization and execute on our strategy, we expect to experience significant growth in the number of our employees and the scope of our operations, particularly in the areas of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business, and development resources. Any inability to manage growth could delay the execution of our business plans or disrupt our operations. Our future financial performance and our ability to compete effectively will depend, in part, on our ability to manage our growth effectively.</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affected by litigation, government investigations and enforcement actions.</w:t>
      </w:r>
    </w:p>
    <w:p>
      <w:pPr>
        <w:spacing w:after="0" w:line="118" w:lineRule="exact"/>
        <w:rPr>
          <w:sz w:val="20"/>
          <w:szCs w:val="20"/>
          <w:color w:val="auto"/>
        </w:rPr>
      </w:pPr>
    </w:p>
    <w:p>
      <w:pPr>
        <w:ind w:right="180" w:firstLine="627"/>
        <w:spacing w:after="0" w:line="263" w:lineRule="auto"/>
        <w:rPr>
          <w:sz w:val="20"/>
          <w:szCs w:val="20"/>
          <w:color w:val="auto"/>
        </w:rPr>
      </w:pPr>
      <w:r>
        <w:rPr>
          <w:rFonts w:ascii="Arial" w:cs="Arial" w:eastAsia="Arial" w:hAnsi="Arial"/>
          <w:sz w:val="17"/>
          <w:szCs w:val="17"/>
          <w:color w:val="auto"/>
        </w:rPr>
        <w:t>We currently operate and plan to operate in a highly regulated industry and we could now or in the future be subject to litigation, government investigation and enforcement actions on a variety of matters in the U.S.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71"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w:t>
      </w:r>
    </w:p>
    <w:p>
      <w:pPr>
        <w:spacing w:after="0" w:line="2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Inadequate funding for the FDA, the Securities and Exchange Commission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3" w:lineRule="exact"/>
        <w:rPr>
          <w:sz w:val="20"/>
          <w:szCs w:val="20"/>
          <w:color w:val="auto"/>
        </w:rPr>
      </w:pPr>
    </w:p>
    <w:p>
      <w:pPr>
        <w:ind w:right="200" w:firstLine="627"/>
        <w:spacing w:after="0" w:line="277"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the Securities and Exchange Commission (the “SEC”) and other government agencies on which our operations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960"/>
        <w:spacing w:after="0" w:line="298" w:lineRule="auto"/>
        <w:rPr>
          <w:sz w:val="20"/>
          <w:szCs w:val="20"/>
          <w:color w:val="auto"/>
        </w:rPr>
      </w:pPr>
      <w:r>
        <w:rPr>
          <w:rFonts w:ascii="Arial" w:cs="Arial" w:eastAsia="Arial" w:hAnsi="Arial"/>
          <w:sz w:val="17"/>
          <w:szCs w:val="17"/>
          <w:color w:val="auto"/>
        </w:rPr>
        <w:t>may rely, including those that fund research and development activities, is subject to the political process, which is inherently fluid and unpredictable.</w:t>
      </w:r>
    </w:p>
    <w:p>
      <w:pPr>
        <w:spacing w:after="0" w:line="141" w:lineRule="exact"/>
        <w:rPr>
          <w:sz w:val="20"/>
          <w:szCs w:val="20"/>
          <w:color w:val="auto"/>
        </w:rPr>
      </w:pPr>
    </w:p>
    <w:p>
      <w:pPr>
        <w:ind w:right="40" w:firstLine="627"/>
        <w:spacing w:after="0" w:line="261" w:lineRule="auto"/>
        <w:rPr>
          <w:sz w:val="20"/>
          <w:szCs w:val="20"/>
          <w:color w:val="auto"/>
        </w:rPr>
      </w:pPr>
      <w:r>
        <w:rPr>
          <w:rFonts w:ascii="Arial" w:cs="Arial" w:eastAsia="Arial" w:hAnsi="Arial"/>
          <w:sz w:val="17"/>
          <w:szCs w:val="17"/>
          <w:color w:val="auto"/>
        </w:rPr>
        <w:t>Disruptions at the FDA and other agencies, including substantial leadership, personnel and policy changes, may also slow the time necessary for new product candidates to be reviewed and/or approved by necessary government agencies, which would adversely affect our business. For example, over the last several years, the U.S. government has shut down several times, including a 43-day period that began on October 1, 2025, due to budgetary issues and certain regulatory agencies, such as the FDA and the SEC, have had to furlough critical employees and stop critical activities. If a prolonged government shutdown occurs, or if geopolitical or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government shutdowns or other disruptions at the FDA, SEC or other government agencies could impact our ability to access the public markets and obtain necessary capital in order to properly capitalize and continue our operations.</w:t>
      </w:r>
    </w:p>
    <w:p>
      <w:pPr>
        <w:spacing w:after="0" w:line="280" w:lineRule="exact"/>
        <w:rPr>
          <w:sz w:val="20"/>
          <w:szCs w:val="20"/>
          <w:color w:val="auto"/>
        </w:rPr>
      </w:pPr>
    </w:p>
    <w:p>
      <w:pPr>
        <w:ind w:right="60"/>
        <w:spacing w:after="0" w:line="307"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22" w:lineRule="exact"/>
        <w:rPr>
          <w:sz w:val="20"/>
          <w:szCs w:val="20"/>
          <w:color w:val="auto"/>
        </w:rPr>
      </w:pPr>
    </w:p>
    <w:p>
      <w:pPr>
        <w:ind w:right="60" w:firstLine="627"/>
        <w:spacing w:after="0" w:line="266" w:lineRule="auto"/>
        <w:rPr>
          <w:sz w:val="20"/>
          <w:szCs w:val="20"/>
          <w:color w:val="auto"/>
        </w:rPr>
      </w:pPr>
      <w:r>
        <w:rPr>
          <w:rFonts w:ascii="Arial" w:cs="Arial" w:eastAsia="Arial" w:hAnsi="Arial"/>
          <w:sz w:val="17"/>
          <w:szCs w:val="17"/>
          <w:color w:val="auto"/>
        </w:rPr>
        <w:t>Our employees, independent contractors, consultants, commercial collaborators, principal investigators, CROs, suppliers and vendors may engage in fraudulent conduct or other illegal activity. Misconduct by these parties could include intentional, reckless and/or negligent conduct or disclosure of unauthorized activities to us that violates FDA or other comparable regulatory authority regulations, including those laws requiring the reporting of true, complete and accurate information to the FDA or other comparable regulatory authority, manufacturing standards, foreign, federal and state healthcare laws and regulations, and laws that require the true, complete and accurate reporting of financial information or data.</w:t>
      </w:r>
    </w:p>
    <w:p>
      <w:pPr>
        <w:spacing w:after="0" w:line="170"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and abuse, such as the payment of kickbacks in return for business. These laws and regulations may restrict or prohibit a wide range of pricing, discounting, marketing and promotion, sales commission, customer incentive programs and other business arrangements. Misconduct by these parties could also involve the improper use or misrepresentation of individually identifiable information, including, without limitation, information obtained in the course of clinical trials, which could result in regulatory sanctions and serious harm to our reputation. We have adopted both a code of business conduct and ethics and an insider trading policy,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imprisonment, contractual damages, reputational harm,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these could adversely affect our ability to operate our business and our results of operations.</w:t>
      </w:r>
    </w:p>
    <w:p>
      <w:pPr>
        <w:spacing w:after="0" w:line="200" w:lineRule="exact"/>
        <w:rPr>
          <w:sz w:val="20"/>
          <w:szCs w:val="20"/>
          <w:color w:val="auto"/>
        </w:rPr>
      </w:pPr>
    </w:p>
    <w:p>
      <w:pPr>
        <w:spacing w:after="0" w:line="29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If our third-party manufacturers or suppliers do not comply with laws regulating the protection of the environment and health and human safety, our business could be affected adversely.</w:t>
      </w:r>
    </w:p>
    <w:p>
      <w:pPr>
        <w:spacing w:after="0" w:line="20" w:lineRule="exact"/>
        <w:rPr>
          <w:sz w:val="20"/>
          <w:szCs w:val="20"/>
          <w:color w:val="auto"/>
        </w:rPr>
      </w:pPr>
    </w:p>
    <w:p>
      <w:pPr>
        <w:ind w:right="20" w:firstLine="627"/>
        <w:spacing w:after="0" w:line="266" w:lineRule="auto"/>
        <w:rPr>
          <w:sz w:val="20"/>
          <w:szCs w:val="20"/>
          <w:color w:val="auto"/>
        </w:rPr>
      </w:pPr>
      <w:r>
        <w:rPr>
          <w:rFonts w:ascii="Arial" w:cs="Arial" w:eastAsia="Arial" w:hAnsi="Arial"/>
          <w:sz w:val="17"/>
          <w:szCs w:val="17"/>
          <w:color w:val="auto"/>
        </w:rPr>
        <w:t>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products. We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generally contract with third parties for the disposal of these materials and wastes. We cannot eliminate the risk of contamination or injury from these materials. In the event of contamination or injury resulting from the use of hazardous materials by us or by one of our third party-manufacturers, we could be held liable for any resulting damages or be penalized with fines in an amount exceeding our resources, and our clinical trials or regulatory approvals could be suspended. We and our third-party manufacturers and suppliers cannot eliminate the risk of accidental injury or contamination from these materials or wastes. 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w:t>
      </w:r>
    </w:p>
    <w:p>
      <w:pPr>
        <w:spacing w:after="0" w:line="171" w:lineRule="exact"/>
        <w:rPr>
          <w:sz w:val="20"/>
          <w:szCs w:val="20"/>
          <w:color w:val="auto"/>
        </w:rPr>
      </w:pPr>
    </w:p>
    <w:p>
      <w:pPr>
        <w:ind w:right="320" w:firstLine="627"/>
        <w:spacing w:after="0" w:line="266" w:lineRule="auto"/>
        <w:rPr>
          <w:sz w:val="20"/>
          <w:szCs w:val="20"/>
          <w:color w:val="auto"/>
        </w:rPr>
      </w:pPr>
      <w:r>
        <w:rPr>
          <w:rFonts w:ascii="Arial" w:cs="Arial" w:eastAsia="Arial" w:hAnsi="Arial"/>
          <w:sz w:val="17"/>
          <w:szCs w:val="17"/>
          <w:color w:val="auto"/>
        </w:rPr>
        <w:t>In addition, we and our third-party manufacturers and suppliers may incur substantial costs in order to comply with current or future environmental, health and safety laws and regulations,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us or our third-party manufacturers and suppliers, or adversely impact our supply chain or reputation, which could in turn materially adversely affect our business, financial condition, results of operations and prospects.</w:t>
      </w:r>
    </w:p>
    <w:p>
      <w:pPr>
        <w:spacing w:after="0" w:line="274" w:lineRule="exact"/>
        <w:rPr>
          <w:sz w:val="20"/>
          <w:szCs w:val="20"/>
          <w:color w:val="auto"/>
        </w:rPr>
      </w:pPr>
    </w:p>
    <w:p>
      <w:pPr>
        <w:ind w:right="760"/>
        <w:spacing w:after="0" w:line="307" w:lineRule="auto"/>
        <w:rPr>
          <w:sz w:val="20"/>
          <w:szCs w:val="20"/>
          <w:color w:val="auto"/>
        </w:rPr>
      </w:pPr>
      <w:r>
        <w:rPr>
          <w:rFonts w:ascii="Arial" w:cs="Arial" w:eastAsia="Arial" w:hAnsi="Arial"/>
          <w:sz w:val="17"/>
          <w:szCs w:val="17"/>
          <w:b w:val="1"/>
          <w:bCs w:val="1"/>
          <w:i w:val="1"/>
          <w:iCs w:val="1"/>
          <w:color w:val="auto"/>
        </w:rPr>
        <w:t>Our insurance policies are expensive and only protect us from some business risks, which will leave us exposed to significant uninsured liabilities.</w:t>
      </w:r>
    </w:p>
    <w:p>
      <w:pPr>
        <w:spacing w:after="0" w:line="22" w:lineRule="exact"/>
        <w:rPr>
          <w:sz w:val="20"/>
          <w:szCs w:val="20"/>
          <w:color w:val="auto"/>
        </w:rPr>
      </w:pPr>
    </w:p>
    <w:p>
      <w:pPr>
        <w:ind w:right="200" w:firstLine="627"/>
        <w:spacing w:after="0" w:line="274"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property, general liability, employment directors’ and officers’ and employment practices insurance, however, we may not be able to maintain insurance adequate levels of coverage in the future. Further, an insurance carrier may seek to cancel or deny coverage after a claim has occurred.</w:t>
      </w:r>
    </w:p>
    <w:p>
      <w:pPr>
        <w:spacing w:after="0" w:line="200" w:lineRule="exact"/>
        <w:rPr>
          <w:sz w:val="20"/>
          <w:szCs w:val="20"/>
          <w:color w:val="auto"/>
        </w:rPr>
      </w:pPr>
    </w:p>
    <w:p>
      <w:pPr>
        <w:spacing w:after="0" w:line="279"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We may engage in strategic transactions that could increase our capital requirements, dilute our stockholders, cause us to incur debt or assume contingent liabilities, subject us to other risks, adversely affect our liquidity, increase our expenses, present significant distractions to our management and harm our financial condition and results of operations.</w:t>
      </w:r>
    </w:p>
    <w:p>
      <w:pPr>
        <w:spacing w:after="0" w:line="42"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strategic partnerships or out-licensing or in-licensing of intellectual property, product candidates or products. For example, we have entered into a license agreement with AbbVie that gives us exclusive worldwide rights to develop and commercialize three clinical-stage compounds. Additional potential transactions that we may consider in the future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licensed assets that we may acquire rights to in the future may disrupt our existing business, may cause delays related to the integration of any licensed or acquired assets, and may be a complex, risky and costly endeavor for which we may never realize the full benefits. Furthermore, we may experience losses related to our entry into any licensing or partnerships,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118" w:lineRule="exact"/>
        <w:rPr>
          <w:sz w:val="20"/>
          <w:szCs w:val="20"/>
          <w:color w:val="auto"/>
        </w:rPr>
      </w:pPr>
    </w:p>
    <w:p>
      <w:pPr>
        <w:ind w:right="60" w:firstLine="627"/>
        <w:spacing w:after="0" w:line="261" w:lineRule="auto"/>
        <w:rPr>
          <w:sz w:val="20"/>
          <w:szCs w:val="20"/>
          <w:color w:val="auto"/>
        </w:rPr>
      </w:pPr>
      <w:r>
        <w:rPr>
          <w:rFonts w:ascii="Arial" w:cs="Arial" w:eastAsia="Arial" w:hAnsi="Arial"/>
          <w:sz w:val="17"/>
          <w:szCs w:val="17"/>
          <w:color w:val="auto"/>
        </w:rPr>
        <w:t>Our operations and the operations of our suppliers, CROs, CDMOs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or business interruptions, for which we are predominantly self-insured. We rely or expect to rely on third-party manufacturers or suppliers to produce our product candidates and their components and on CROs and clinical sites to conduct our clinical trials, and do not currently have a redundant source of supply for all components of our product candidates. Our ability to obtain clinical or, if approved, commercial, supplies of our product candidates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2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These fluctuations may occur due to a variety of factors, many of which are outside of our control, including:</w:t>
      </w:r>
    </w:p>
    <w:p>
      <w:pPr>
        <w:spacing w:after="0" w:line="102" w:lineRule="exact"/>
        <w:rPr>
          <w:sz w:val="20"/>
          <w:szCs w:val="20"/>
          <w:color w:val="auto"/>
        </w:rPr>
      </w:pPr>
    </w:p>
    <w:p>
      <w:pPr>
        <w:ind w:left="640" w:right="220" w:hanging="166"/>
        <w:spacing w:after="0" w:line="298" w:lineRule="auto"/>
        <w:tabs>
          <w:tab w:leader="none" w:pos="6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successfully recruit and retain subjects for clinical trials and any delays caused by difficulties in such efforts;</w:t>
      </w:r>
    </w:p>
    <w:p>
      <w:pPr>
        <w:spacing w:after="0" w:line="117" w:lineRule="exact"/>
        <w:rPr>
          <w:rFonts w:ascii="Arial" w:cs="Arial" w:eastAsia="Arial" w:hAnsi="Arial"/>
          <w:sz w:val="17"/>
          <w:szCs w:val="17"/>
          <w:color w:val="auto"/>
        </w:rPr>
      </w:pPr>
    </w:p>
    <w:p>
      <w:pPr>
        <w:ind w:left="640" w:right="60" w:hanging="166"/>
        <w:spacing w:after="0" w:line="298" w:lineRule="auto"/>
        <w:tabs>
          <w:tab w:leader="none" w:pos="6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development, regulatory approvals and commercialization activities relating to our product candidates, which may change from time to time;</w:t>
      </w:r>
    </w:p>
    <w:p>
      <w:pPr>
        <w:spacing w:after="0" w:line="36" w:lineRule="exact"/>
        <w:rPr>
          <w:rFonts w:ascii="Arial" w:cs="Arial" w:eastAsia="Arial" w:hAnsi="Arial"/>
          <w:sz w:val="17"/>
          <w:szCs w:val="17"/>
          <w:color w:val="auto"/>
        </w:rPr>
      </w:pPr>
    </w:p>
    <w:p>
      <w:pPr>
        <w:ind w:left="640" w:right="840" w:hanging="166"/>
        <w:spacing w:after="0" w:line="298" w:lineRule="auto"/>
        <w:tabs>
          <w:tab w:leader="none" w:pos="6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cost of manufacturing our product candidates, which may vary depending on the quantity of production and the terms of our agreements with manufacturers;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expenditures that we may incur to acquire, develop or commercialize additional product candidates;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level of demand and the indication for any approved products, which may vary significantly;</w:t>
      </w:r>
    </w:p>
    <w:p>
      <w:pPr>
        <w:spacing w:after="0" w:line="117" w:lineRule="exact"/>
        <w:rPr>
          <w:rFonts w:ascii="Arial" w:cs="Arial" w:eastAsia="Arial" w:hAnsi="Arial"/>
          <w:sz w:val="17"/>
          <w:szCs w:val="17"/>
          <w:color w:val="auto"/>
        </w:rPr>
      </w:pPr>
    </w:p>
    <w:p>
      <w:pPr>
        <w:ind w:left="640" w:right="200" w:hanging="166"/>
        <w:spacing w:after="0" w:line="298" w:lineRule="auto"/>
        <w:tabs>
          <w:tab w:leader="none" w:pos="6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risk/benefit profile, cost, coverage, and reimbursement policies with respect to our product candidates, if approved, and existing and potential future drugs that compete with our product candidates;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17" w:lineRule="exact"/>
        <w:rPr>
          <w:rFonts w:ascii="Arial" w:cs="Arial" w:eastAsia="Arial" w:hAnsi="Arial"/>
          <w:sz w:val="17"/>
          <w:szCs w:val="17"/>
          <w:color w:val="auto"/>
        </w:rPr>
      </w:pPr>
    </w:p>
    <w:p>
      <w:pPr>
        <w:ind w:left="640" w:right="140" w:hanging="166"/>
        <w:spacing w:after="0" w:line="298" w:lineRule="auto"/>
        <w:tabs>
          <w:tab w:leader="none" w:pos="6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timing and amount of any milestone, royalty or other payments payable by us or due to us under any collaboration, licensing or other similar agreement; and</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general market and economic conditions, including market conditions in the pharmaceutical and biotechnology sectors.</w:t>
      </w:r>
    </w:p>
    <w:p>
      <w:pPr>
        <w:spacing w:after="0" w:line="222"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59" w:lineRule="exact"/>
        <w:rPr>
          <w:sz w:val="20"/>
          <w:szCs w:val="20"/>
          <w:color w:val="auto"/>
        </w:rPr>
      </w:pPr>
    </w:p>
    <w:p>
      <w:pPr>
        <w:ind w:right="100" w:firstLine="627"/>
        <w:spacing w:after="0" w:line="274"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substantially. Such a stock price decline could occur even if we have met any previously publicly stated revenue or earnings guidance.</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common stock may be volatile, and investors could lose all or part of their investment.</w:t>
      </w:r>
    </w:p>
    <w:p>
      <w:pPr>
        <w:spacing w:after="0" w:line="118"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The market price for our stock has been highly volatile and may continue to be subject to wide fluctuations in response to various factors, some of which we cannot control. The stock market in general and the market for biopharmaceutical companies in particular have experienced extreme price and volume fluctuations that have often been unrelated or disproportionate to the operating performance of particular companies, including in connection with conflicts in various regions of the world, increasing inflation rates, interest rate changes, and changes in U.S. federal policy. As a result of this volatility, investors may not be able to sell their common stock at or above the price paid for the shares. The market price for our common stock may be influenced by many factors, including:</w:t>
      </w:r>
    </w:p>
    <w:p>
      <w:pPr>
        <w:spacing w:after="0" w:line="67" w:lineRule="exact"/>
        <w:rPr>
          <w:sz w:val="20"/>
          <w:szCs w:val="20"/>
          <w:color w:val="auto"/>
        </w:rPr>
      </w:pPr>
    </w:p>
    <w:p>
      <w:pPr>
        <w:ind w:left="620" w:hanging="14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commencement, enrollment or results of our current or future clinical trials of our product candidates;</w:t>
      </w:r>
    </w:p>
    <w:p>
      <w:pPr>
        <w:spacing w:after="0" w:line="117" w:lineRule="exact"/>
        <w:rPr>
          <w:rFonts w:ascii="Arial" w:cs="Arial" w:eastAsia="Arial" w:hAnsi="Arial"/>
          <w:sz w:val="17"/>
          <w:szCs w:val="17"/>
          <w:color w:val="auto"/>
        </w:rPr>
      </w:pPr>
    </w:p>
    <w:p>
      <w:pPr>
        <w:ind w:left="640" w:hanging="166"/>
        <w:spacing w:after="0" w:line="298" w:lineRule="auto"/>
        <w:tabs>
          <w:tab w:leader="none" w:pos="6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adverse results from, delays in, suspension or termination of current or future clinical trials or preclinical studies of our product candidates, or any delay in advancing a clinical candidate;</w:t>
      </w:r>
    </w:p>
    <w:p>
      <w:pPr>
        <w:spacing w:after="0" w:line="36" w:lineRule="exact"/>
        <w:rPr>
          <w:rFonts w:ascii="Arial" w:cs="Arial" w:eastAsia="Arial" w:hAnsi="Arial"/>
          <w:sz w:val="17"/>
          <w:szCs w:val="17"/>
          <w:color w:val="auto"/>
        </w:rPr>
      </w:pPr>
    </w:p>
    <w:p>
      <w:pPr>
        <w:ind w:left="640" w:right="80" w:hanging="166"/>
        <w:spacing w:after="0" w:line="298" w:lineRule="auto"/>
        <w:tabs>
          <w:tab w:leader="none" w:pos="6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success of competitive products gaining approvals or announcements by current and future competitors of their product development efforts;</w:t>
      </w:r>
    </w:p>
    <w:p>
      <w:pPr>
        <w:spacing w:after="0" w:line="36" w:lineRule="exact"/>
        <w:rPr>
          <w:rFonts w:ascii="Arial" w:cs="Arial" w:eastAsia="Arial" w:hAnsi="Arial"/>
          <w:sz w:val="17"/>
          <w:szCs w:val="17"/>
          <w:color w:val="auto"/>
        </w:rPr>
      </w:pPr>
    </w:p>
    <w:p>
      <w:pPr>
        <w:ind w:left="640" w:right="880" w:hanging="166"/>
        <w:spacing w:after="0" w:line="298" w:lineRule="auto"/>
        <w:tabs>
          <w:tab w:leader="none" w:pos="6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delay in our regulatory filings for our product candidates or any other product candidate we may develop, and any adverse development or perceived adverse development with respect to the applicable regulatory authority’s review of such filings;</w:t>
      </w:r>
    </w:p>
    <w:p>
      <w:pPr>
        <w:spacing w:after="0" w:line="36" w:lineRule="exact"/>
        <w:rPr>
          <w:rFonts w:ascii="Arial" w:cs="Arial" w:eastAsia="Arial" w:hAnsi="Arial"/>
          <w:sz w:val="17"/>
          <w:szCs w:val="17"/>
          <w:color w:val="auto"/>
        </w:rPr>
      </w:pPr>
    </w:p>
    <w:p>
      <w:pPr>
        <w:ind w:left="640" w:right="360" w:hanging="166"/>
        <w:spacing w:after="0" w:line="277" w:lineRule="auto"/>
        <w:tabs>
          <w:tab w:leader="none" w:pos="6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adverse regulatory decisions, including the failure to authorize or approve the conduct of one or more clinical trials of our product candidates, the failure to receive regulatory approvals of our product candidates, or the failure of a regulatory authority to accept data from clinical trials conducted in other countries;</w:t>
      </w:r>
    </w:p>
    <w:p>
      <w:pPr>
        <w:spacing w:after="0" w:line="54" w:lineRule="exact"/>
        <w:rPr>
          <w:rFonts w:ascii="Arial" w:cs="Arial" w:eastAsia="Arial" w:hAnsi="Arial"/>
          <w:sz w:val="17"/>
          <w:szCs w:val="17"/>
          <w:color w:val="auto"/>
        </w:rPr>
      </w:pPr>
    </w:p>
    <w:p>
      <w:pPr>
        <w:ind w:left="620" w:hanging="14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reporting of unfavorable preclinical or clinical results;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success or failure to identify, develop, acquire or license additional product candidates;</w:t>
      </w:r>
    </w:p>
    <w:p>
      <w:pPr>
        <w:spacing w:after="0" w:line="117" w:lineRule="exact"/>
        <w:rPr>
          <w:rFonts w:ascii="Arial" w:cs="Arial" w:eastAsia="Arial" w:hAnsi="Arial"/>
          <w:sz w:val="17"/>
          <w:szCs w:val="17"/>
          <w:color w:val="auto"/>
        </w:rPr>
      </w:pPr>
    </w:p>
    <w:p>
      <w:pPr>
        <w:ind w:left="640" w:right="160" w:hanging="166"/>
        <w:spacing w:after="0" w:line="298" w:lineRule="auto"/>
        <w:tabs>
          <w:tab w:leader="none" w:pos="6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degree and rate of physician and market adoption of any of our current and future product candidates, if successfully developed and approved;</w:t>
      </w:r>
    </w:p>
    <w:p>
      <w:pPr>
        <w:spacing w:after="0" w:line="36" w:lineRule="exact"/>
        <w:rPr>
          <w:rFonts w:ascii="Arial" w:cs="Arial" w:eastAsia="Arial" w:hAnsi="Arial"/>
          <w:sz w:val="17"/>
          <w:szCs w:val="17"/>
          <w:color w:val="auto"/>
        </w:rPr>
      </w:pPr>
    </w:p>
    <w:p>
      <w:pPr>
        <w:ind w:left="640" w:right="820" w:hanging="166"/>
        <w:spacing w:after="0" w:line="298" w:lineRule="auto"/>
        <w:tabs>
          <w:tab w:leader="none" w:pos="6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manufacturing, supply or distribution delays or shortages, including our inability to obtain adequate supply of drug product, drug substance, raw materials or any commercially available product to be used in our clinical trials, at acceptable prices, or at all;</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our product candidates or any other product candidate;</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cash position, and any changes in financial estimates by us or by any equity research analysts who cover our stock;</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our capital structure, such as future issuances of securities and the incurrence of additional debt;</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conditions or trends in our industry;</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investors’ general perception of our company and our business;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117" w:lineRule="exact"/>
        <w:rPr>
          <w:rFonts w:ascii="Arial" w:cs="Arial" w:eastAsia="Arial" w:hAnsi="Arial"/>
          <w:sz w:val="17"/>
          <w:szCs w:val="17"/>
          <w:color w:val="auto"/>
        </w:rPr>
      </w:pPr>
    </w:p>
    <w:p>
      <w:pPr>
        <w:ind w:left="640" w:right="140" w:hanging="166"/>
        <w:spacing w:after="0" w:line="298" w:lineRule="auto"/>
        <w:tabs>
          <w:tab w:leader="none" w:pos="6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the market valuations and stock market price and volume fluctuations of comparable companies and, in particular, those that operate in the biopharmaceutical industry;</w:t>
      </w:r>
    </w:p>
    <w:p>
      <w:pPr>
        <w:spacing w:after="0" w:line="36" w:lineRule="exact"/>
        <w:rPr>
          <w:rFonts w:ascii="Arial" w:cs="Arial" w:eastAsia="Arial" w:hAnsi="Arial"/>
          <w:sz w:val="17"/>
          <w:szCs w:val="17"/>
          <w:color w:val="auto"/>
        </w:rPr>
      </w:pPr>
    </w:p>
    <w:p>
      <w:pPr>
        <w:ind w:left="640" w:right="200" w:hanging="166"/>
        <w:spacing w:after="0" w:line="298" w:lineRule="auto"/>
        <w:tabs>
          <w:tab w:leader="none" w:pos="6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positive or negative recommendations or withdrawal of research coverage by securities analysts;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right="540" w:hanging="166"/>
        <w:spacing w:after="0" w:line="298" w:lineRule="auto"/>
        <w:tabs>
          <w:tab w:leader="none" w:pos="6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capital commitments or divestitures;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third-party publications and discussions about our business on social media, forums and other websites;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sales of common stock by us or our stockholders in the future;</w:t>
      </w:r>
    </w:p>
    <w:p>
      <w:pPr>
        <w:spacing w:after="0" w:line="117" w:lineRule="exact"/>
        <w:rPr>
          <w:rFonts w:ascii="Arial" w:cs="Arial" w:eastAsia="Arial" w:hAnsi="Arial"/>
          <w:sz w:val="17"/>
          <w:szCs w:val="17"/>
          <w:color w:val="auto"/>
        </w:rPr>
      </w:pPr>
    </w:p>
    <w:p>
      <w:pPr>
        <w:ind w:left="640" w:hanging="166"/>
        <w:spacing w:after="0" w:line="298" w:lineRule="auto"/>
        <w:tabs>
          <w:tab w:leader="none" w:pos="6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product candidates;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regulatory or legal developments in the U.S. and foreign countries;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222" w:lineRule="exact"/>
        <w:rPr>
          <w:rFonts w:ascii="Arial" w:cs="Arial" w:eastAsia="Arial" w:hAnsi="Arial"/>
          <w:sz w:val="17"/>
          <w:szCs w:val="17"/>
          <w:color w:val="auto"/>
        </w:rPr>
      </w:pPr>
    </w:p>
    <w:p>
      <w:pPr>
        <w:ind w:left="620" w:hanging="14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general economic, geopolitical and stock market conditions;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222" w:lineRule="exact"/>
        <w:rPr>
          <w:sz w:val="20"/>
          <w:szCs w:val="20"/>
          <w:color w:val="auto"/>
        </w:rPr>
      </w:pPr>
    </w:p>
    <w:p>
      <w:pPr>
        <w:ind w:right="180" w:firstLine="627"/>
        <w:spacing w:after="0" w:line="270" w:lineRule="auto"/>
        <w:rPr>
          <w:sz w:val="20"/>
          <w:szCs w:val="20"/>
          <w:color w:val="auto"/>
        </w:rPr>
      </w:pPr>
      <w:r>
        <w:rPr>
          <w:rFonts w:ascii="Arial" w:cs="Arial" w:eastAsia="Arial" w:hAnsi="Arial"/>
          <w:sz w:val="17"/>
          <w:szCs w:val="17"/>
          <w:color w:val="auto"/>
        </w:rPr>
        <w:t>These and other market and industry factors may negatively affect the market price of our common stock, regardless of our actual operating performance. The realization of any of the risks described in this section, or any of a broad range of other risks, could have a material adverse impact on the market price of our common stock. The price of our common stock may be disproportionately affected as investors may favor traditional profit-making industries and companies during times of market uncertainty and instability.</w:t>
      </w:r>
    </w:p>
    <w:p>
      <w:pPr>
        <w:spacing w:after="0" w:line="165" w:lineRule="exact"/>
        <w:rPr>
          <w:sz w:val="20"/>
          <w:szCs w:val="20"/>
          <w:color w:val="auto"/>
        </w:rPr>
      </w:pPr>
    </w:p>
    <w:p>
      <w:pPr>
        <w:jc w:val="both"/>
        <w:ind w:right="240" w:firstLine="627"/>
        <w:spacing w:after="0" w:line="277" w:lineRule="auto"/>
        <w:rPr>
          <w:sz w:val="20"/>
          <w:szCs w:val="20"/>
          <w:color w:val="auto"/>
        </w:rPr>
      </w:pPr>
      <w:r>
        <w:rPr>
          <w:rFonts w:ascii="Arial" w:cs="Arial" w:eastAsia="Arial" w:hAnsi="Arial"/>
          <w:sz w:val="17"/>
          <w:szCs w:val="17"/>
          <w:color w:val="auto"/>
        </w:rPr>
        <w:t>In the past, stockholders have initiated class action lawsuits against pharmaceutical and biotechnology companies following periods of volatility in the market prices of these companies’ stock. Such litigation, if instituted, could result in substantial costs and divert management’s attention and resources.</w:t>
      </w:r>
    </w:p>
    <w:p>
      <w:pPr>
        <w:spacing w:after="0" w:line="159" w:lineRule="exact"/>
        <w:rPr>
          <w:sz w:val="20"/>
          <w:szCs w:val="20"/>
          <w:color w:val="auto"/>
        </w:rPr>
      </w:pPr>
    </w:p>
    <w:p>
      <w:pPr>
        <w:ind w:right="220" w:firstLine="627"/>
        <w:spacing w:after="0" w:line="270" w:lineRule="auto"/>
        <w:rPr>
          <w:sz w:val="20"/>
          <w:szCs w:val="20"/>
          <w:color w:val="auto"/>
        </w:rPr>
      </w:pPr>
      <w:r>
        <w:rPr>
          <w:rFonts w:ascii="Arial" w:cs="Arial" w:eastAsia="Arial" w:hAnsi="Arial"/>
          <w:sz w:val="17"/>
          <w:szCs w:val="17"/>
          <w:color w:val="auto"/>
        </w:rPr>
        <w:t>In addition, the trading market for our common stock will depend in part on the research and reports that securities or industry analysts publish about us or our business. If one or more of these analysts ceases coverage of us, fails to publish reports on us regularly or publish inaccurate or unfavorable research about our business, demand for our stock could decrease, which might cause our stock price and trading volume to decline.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satisfy listing requirements of Nasdaq or obtain or maintain a listing of our common stock on Nasdaq.</w:t>
      </w:r>
    </w:p>
    <w:p>
      <w:pPr>
        <w:spacing w:after="0" w:line="118"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Since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spacing w:after="0" w:line="276"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42" w:lineRule="exact"/>
        <w:rPr>
          <w:sz w:val="20"/>
          <w:szCs w:val="20"/>
          <w:color w:val="auto"/>
        </w:rPr>
      </w:pPr>
    </w:p>
    <w:p>
      <w:pPr>
        <w:jc w:val="both"/>
        <w:ind w:right="60" w:firstLine="627"/>
        <w:spacing w:after="0" w:line="277"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significantly reduce the value of our shares to a potential acquiror or make it difficult for a third party to acquire, or attempt to acquire, control of our company, even if a change of control was considered favorable by</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our stockholders. For example, our board of directors has the authority to issue up to 10,000,000 shares of preferred stock and may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charter documents also contain other provisions that could have an anti-takeover effect, including:</w:t>
      </w:r>
    </w:p>
    <w:p>
      <w:pPr>
        <w:spacing w:after="0" w:line="118" w:lineRule="exact"/>
        <w:rPr>
          <w:sz w:val="20"/>
          <w:szCs w:val="20"/>
          <w:color w:val="auto"/>
        </w:rPr>
      </w:pPr>
    </w:p>
    <w:p>
      <w:pPr>
        <w:ind w:left="620" w:hanging="146"/>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only one of our three classes of directors will be elected each year;</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stockholders are not entitled to remove directors other than by a two-thirds (2/3) vote and only for cause;</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stockholders are not permitted to take actions by written consent;</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stockholders cannot call a special meeting of stockholders;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stockholders must give advance notice to nominate directors or submit proposals for consideration at stockholder meetings.</w:t>
      </w:r>
    </w:p>
    <w:p>
      <w:pPr>
        <w:spacing w:after="0" w:line="222" w:lineRule="exact"/>
        <w:rPr>
          <w:sz w:val="20"/>
          <w:szCs w:val="20"/>
          <w:color w:val="auto"/>
        </w:rPr>
      </w:pPr>
    </w:p>
    <w:p>
      <w:pPr>
        <w:ind w:right="120" w:firstLine="627"/>
        <w:spacing w:after="0" w:line="264"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our stockholders' best interests. These provisions may also prevent changes in our management or limit the price that investors are willing to pay for our stock.</w:t>
      </w:r>
    </w:p>
    <w:p>
      <w:pPr>
        <w:spacing w:after="0" w:line="276" w:lineRule="exact"/>
        <w:rPr>
          <w:sz w:val="20"/>
          <w:szCs w:val="20"/>
          <w:color w:val="auto"/>
        </w:rPr>
      </w:pPr>
    </w:p>
    <w:p>
      <w:pPr>
        <w:ind w:right="280"/>
        <w:spacing w:after="0" w:line="307"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respective affiliates own a significant percentage of our stock and are able to exert significant control over matters subject to stockholder approval.</w:t>
      </w:r>
    </w:p>
    <w:p>
      <w:pPr>
        <w:spacing w:after="0" w:line="22"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Our executive officers, directors and current beneficial owners of 5% or more of our common stock and their respective affiliates beneficially own a significant percentage of our outstanding common stock. As a result, these persons, acting together, would be able to control all matters requiring stockholder approval, including the election and removal of directors, any merger, consolidation, sale of all or substantially all of our assets, or other significant corporate transactions.</w:t>
      </w:r>
    </w:p>
    <w:p>
      <w:pPr>
        <w:spacing w:after="0" w:line="165" w:lineRule="exact"/>
        <w:rPr>
          <w:sz w:val="20"/>
          <w:szCs w:val="20"/>
          <w:color w:val="auto"/>
        </w:rPr>
      </w:pPr>
    </w:p>
    <w:p>
      <w:pPr>
        <w:ind w:right="180" w:firstLine="627"/>
        <w:spacing w:after="0" w:line="266" w:lineRule="auto"/>
        <w:rPr>
          <w:sz w:val="20"/>
          <w:szCs w:val="20"/>
          <w:color w:val="auto"/>
        </w:rPr>
      </w:pPr>
      <w:r>
        <w:rPr>
          <w:rFonts w:ascii="Arial" w:cs="Arial" w:eastAsia="Arial" w:hAnsi="Arial"/>
          <w:sz w:val="17"/>
          <w:szCs w:val="17"/>
          <w:color w:val="auto"/>
        </w:rPr>
        <w:t>Some of these persons or entities may have interests different than other stockholders.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 The significant concentration of ownership may adversely affect the trading price of our common stock due to investors' perceptions that it may create conflicts of interest.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anticipate paying any cash dividends on our common stock in the foreseeable future.</w:t>
      </w:r>
    </w:p>
    <w:p>
      <w:pPr>
        <w:spacing w:after="0" w:line="118" w:lineRule="exact"/>
        <w:rPr>
          <w:sz w:val="20"/>
          <w:szCs w:val="20"/>
          <w:color w:val="auto"/>
        </w:rPr>
      </w:pPr>
    </w:p>
    <w:p>
      <w:pPr>
        <w:ind w:right="180" w:firstLine="627"/>
        <w:spacing w:after="0" w:line="266" w:lineRule="auto"/>
        <w:rPr>
          <w:sz w:val="20"/>
          <w:szCs w:val="20"/>
          <w:color w:val="auto"/>
        </w:rPr>
      </w:pPr>
      <w:r>
        <w:rPr>
          <w:rFonts w:ascii="Arial" w:cs="Arial" w:eastAsia="Arial" w:hAnsi="Arial"/>
          <w:sz w:val="17"/>
          <w:szCs w:val="17"/>
          <w:color w:val="auto"/>
        </w:rPr>
        <w:t>We have not declared or paid cash dividends on our common stock to date. We currently intend to retain our future earnings, if any, to fund the development and growth of our business and do not anticipate declaring or paying any cash dividends for the foreseeable future. As a result, capital appreciation, if any, of our common stock will be the sole source of gain for our stockholders for the foreseeable future. Investors seeking cash dividends should not purchase our common stock. There is no guarantee that shares of our common stock will appreciate in value or even maintain the price at which stockholders have purchased their shares.</w:t>
      </w:r>
    </w:p>
    <w:p>
      <w:pPr>
        <w:spacing w:after="0" w:line="27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2" w:lineRule="exact"/>
        <w:rPr>
          <w:sz w:val="20"/>
          <w:szCs w:val="20"/>
          <w:color w:val="auto"/>
        </w:rPr>
      </w:pPr>
    </w:p>
    <w:p>
      <w:pPr>
        <w:ind w:right="200" w:firstLine="627"/>
        <w:spacing w:after="0" w:line="298"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claims for (i) any derivative action or</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certificate of incorporation or our bylaws (including the interpretation, validity or enforceability thereof), or</w:t>
      </w:r>
    </w:p>
    <w:p>
      <w:pPr>
        <w:spacing w:after="0" w:line="2" w:lineRule="exact"/>
        <w:rPr>
          <w:sz w:val="20"/>
          <w:szCs w:val="20"/>
          <w:color w:val="auto"/>
        </w:rPr>
      </w:pPr>
    </w:p>
    <w:p>
      <w:pPr>
        <w:ind w:right="20" w:firstLine="4"/>
        <w:spacing w:after="0" w:line="258" w:lineRule="auto"/>
        <w:tabs>
          <w:tab w:leader="none" w:pos="29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action asserting a claim that is governed by the internal affairs doctrine, in each case subject to the Court of Chancery of the State of Delaware having personal jurisdiction over the indispensable parties named as defendants therein (the “Delaware Forum Provision”). The Delaware Forum Provision will not apply to any causes of action arising under the Securities Act of 1933, as amended (the "Securities Act") or the Securities Exchange Act of 1934, as amended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further provide that, unless we consent in writing to the selection of an alternative forum, the federal district courts of the U.S. shall be the sole and exclusive forum for resolving any complaint asserting a cause or causes of action arising under the Securities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388" w:lineRule="exact"/>
        <w:rPr>
          <w:sz w:val="20"/>
          <w:szCs w:val="20"/>
          <w:color w:val="auto"/>
        </w:rPr>
      </w:pPr>
    </w:p>
    <w:p>
      <w:pPr>
        <w:ind w:firstLine="627"/>
        <w:spacing w:after="0" w:line="260" w:lineRule="auto"/>
        <w:rPr>
          <w:sz w:val="20"/>
          <w:szCs w:val="20"/>
          <w:color w:val="auto"/>
        </w:rPr>
      </w:pPr>
      <w:r>
        <w:rPr>
          <w:rFonts w:ascii="Arial" w:cs="Arial" w:eastAsia="Arial" w:hAnsi="Arial"/>
          <w:sz w:val="17"/>
          <w:szCs w:val="17"/>
          <w:color w:val="auto"/>
        </w:rPr>
        <w:t>The Delaware Forum Provision and the Federal Forum Provision in our bylaws may impose additional litigation costs on stockholders in pursuing any such claims. Additionally, the forum selection clauses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20"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b w:val="1"/>
          <w:bCs w:val="1"/>
          <w:i w:val="1"/>
          <w:iCs w:val="1"/>
          <w:color w:val="auto"/>
        </w:rPr>
        <w:t>If our information technology systems or data, or those of third parties upon which we rely, are or were compromised, or fail, we could experience adverse consequences resulting from such compromise, or failure, including but not limited to regulatory investigations or actions; litigation; fines and penalties; disruptions of our business operations; reputational harm; loss of revenue or profits; and other adverse consequences.</w:t>
      </w:r>
    </w:p>
    <w:p>
      <w:pPr>
        <w:spacing w:after="0" w:line="50" w:lineRule="exact"/>
        <w:rPr>
          <w:sz w:val="20"/>
          <w:szCs w:val="20"/>
          <w:color w:val="auto"/>
        </w:rPr>
      </w:pPr>
    </w:p>
    <w:p>
      <w:pPr>
        <w:ind w:right="100" w:firstLine="627"/>
        <w:spacing w:after="0" w:line="266" w:lineRule="auto"/>
        <w:rPr>
          <w:sz w:val="20"/>
          <w:szCs w:val="20"/>
          <w:color w:val="auto"/>
        </w:rPr>
      </w:pPr>
      <w:r>
        <w:rPr>
          <w:rFonts w:ascii="Arial" w:cs="Arial" w:eastAsia="Arial" w:hAnsi="Arial"/>
          <w:sz w:val="17"/>
          <w:szCs w:val="17"/>
          <w:color w:val="auto"/>
        </w:rPr>
        <w:t>In the ordinary course of our business, we and the third parties upon which we rely, process, collect, receive, store, use, transfer, protect, secure, dispose of, transmit, and share proprietary, confidential, and sensitive data, including personal data (such as health-related data), intellectual property and trade secrets. The secure processing, maintenance and transmission of such sensitive information is critical to our operations. Despite our security measures, our information technology and infrastructure may be vulnerable to attacks by hackers or breached due to employee error, malfeasance or other disruptions.</w:t>
      </w:r>
    </w:p>
    <w:p>
      <w:pPr>
        <w:spacing w:after="0" w:line="170"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Cyber-attacks, malicious internet-based activity, online and offline fraud, security breaches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firstLine="627"/>
        <w:spacing w:after="0" w:line="262" w:lineRule="auto"/>
        <w:rPr>
          <w:sz w:val="20"/>
          <w:szCs w:val="20"/>
          <w:color w:val="auto"/>
        </w:rPr>
      </w:pPr>
      <w:r>
        <w:rPr>
          <w:rFonts w:ascii="Arial" w:cs="Arial" w:eastAsia="Arial" w:hAnsi="Arial"/>
          <w:sz w:val="17"/>
          <w:szCs w:val="17"/>
          <w:color w:val="auto"/>
        </w:rPr>
        <w:t>These risks, as well as the number and frequency of cybersecurity events globally, may also be heightened during times of war or other major conflicts. 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attacks), credential harvesting, personnel misconduct or error, ransomware attacks, supply-chain attacks, software bugs, server malfunctions, software or hardware failures, loss of data or other information technology assets, adware, electrical and telecommunications failures, earthquakes, fires, floods, and other similar threats. In particular, severe ransomware attacks are becoming increasingly prevalent and can lead to significant interruptions in our operations, loss of sensitive data and income, reputational harm and diversion of funds.</w:t>
      </w:r>
    </w:p>
    <w:p>
      <w:pPr>
        <w:spacing w:after="0" w:line="173" w:lineRule="exact"/>
        <w:rPr>
          <w:sz w:val="20"/>
          <w:szCs w:val="20"/>
          <w:color w:val="auto"/>
        </w:rPr>
      </w:pPr>
    </w:p>
    <w:p>
      <w:pPr>
        <w:jc w:val="both"/>
        <w:ind w:right="140" w:firstLine="627"/>
        <w:spacing w:after="0" w:line="277" w:lineRule="auto"/>
        <w:rPr>
          <w:sz w:val="20"/>
          <w:szCs w:val="20"/>
          <w:color w:val="auto"/>
        </w:rPr>
      </w:pPr>
      <w:r>
        <w:rPr>
          <w:rFonts w:ascii="Arial" w:cs="Arial" w:eastAsia="Arial" w:hAnsi="Arial"/>
          <w:sz w:val="17"/>
          <w:szCs w:val="17"/>
          <w:color w:val="auto"/>
        </w:rPr>
        <w:t>We have a hybrid in-office/remote work environment, which, like other companies that have incorporated remote working,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59" w:lineRule="exact"/>
        <w:rPr>
          <w:sz w:val="20"/>
          <w:szCs w:val="20"/>
          <w:color w:val="auto"/>
        </w:rPr>
      </w:pPr>
    </w:p>
    <w:p>
      <w:pPr>
        <w:ind w:right="20" w:firstLine="627"/>
        <w:spacing w:after="0" w:line="270" w:lineRule="auto"/>
        <w:rPr>
          <w:sz w:val="20"/>
          <w:szCs w:val="20"/>
          <w:color w:val="auto"/>
        </w:rPr>
      </w:pPr>
      <w:r>
        <w:rPr>
          <w:rFonts w:ascii="Arial" w:cs="Arial" w:eastAsia="Arial" w:hAnsi="Arial"/>
          <w:sz w:val="17"/>
          <w:szCs w:val="17"/>
          <w:color w:val="auto"/>
        </w:rPr>
        <w:t>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65" w:lineRule="exact"/>
        <w:rPr>
          <w:sz w:val="20"/>
          <w:szCs w:val="20"/>
          <w:color w:val="auto"/>
        </w:rPr>
      </w:pPr>
    </w:p>
    <w:p>
      <w:pPr>
        <w:ind w:firstLine="627"/>
        <w:spacing w:after="0" w:line="263" w:lineRule="auto"/>
        <w:rPr>
          <w:sz w:val="20"/>
          <w:szCs w:val="20"/>
          <w:color w:val="auto"/>
        </w:rPr>
      </w:pPr>
      <w:r>
        <w:rPr>
          <w:rFonts w:ascii="Arial" w:cs="Arial" w:eastAsia="Arial" w:hAnsi="Arial"/>
          <w:sz w:val="17"/>
          <w:szCs w:val="17"/>
          <w:color w:val="auto"/>
        </w:rPr>
        <w:t>We currently rely on third-party service providers and technologies to operate critical business systems to process sensitive information in a variety of contexts, including, without limitation, cloud-based infrastructure, employee email, and other functions. We also currently rely on commercially available tools from third-party service providers to process and safeguard our sensitive information and business data.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71" w:lineRule="exact"/>
        <w:rPr>
          <w:sz w:val="20"/>
          <w:szCs w:val="20"/>
          <w:color w:val="auto"/>
        </w:rPr>
      </w:pPr>
    </w:p>
    <w:p>
      <w:pPr>
        <w:ind w:right="20" w:firstLine="627"/>
        <w:spacing w:after="0" w:line="261" w:lineRule="auto"/>
        <w:rPr>
          <w:sz w:val="20"/>
          <w:szCs w:val="20"/>
          <w:color w:val="auto"/>
        </w:rPr>
      </w:pPr>
      <w:r>
        <w:rPr>
          <w:rFonts w:ascii="Arial" w:cs="Arial" w:eastAsia="Arial" w:hAnsi="Arial"/>
          <w:sz w:val="17"/>
          <w:szCs w:val="17"/>
          <w:color w:val="auto"/>
        </w:rPr>
        <w:t>We, like others in our industry, have experienced and may continue to experience threats or system failures which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We have not yet conducted any internal audits or penetration tests on our information technology systems, nor have we enlisted any external parties to conduct security audits or penetration tests on our behalf. Such assessments, when conducted, could indicate vulnerabilities in our information technology systems which we may not be able to effectively remediate. If a security incident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We may expend significant resources or modify our business activities (including our clinical trial activities) to endeavor to protect against security incidents.</w:t>
      </w:r>
    </w:p>
    <w:p>
      <w:pPr>
        <w:spacing w:after="0" w:line="172"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Certain data privacy and security obligations may require us to implement and maintain specific security measures or industry-standard or reasonable security measures to protect our information technology systems and sensitive information. While we have implemented security measures designed to protect against security incidents, there can be no assurance that these measures will be effective. Additionally, certain federal, state and foreign government requirements include obligations of companies to notify individuals of security breaches involving particular categories of personally identifiable information, which could result from breaches experienced by us or the third parties upon whom we rely. Such disclosures are costly, and the disclosure or the failure to comply with such requirements could lead to adverse consequences.</w:t>
      </w:r>
    </w:p>
    <w:p>
      <w:pPr>
        <w:spacing w:after="0" w:line="172" w:lineRule="exact"/>
        <w:rPr>
          <w:sz w:val="20"/>
          <w:szCs w:val="20"/>
          <w:color w:val="auto"/>
        </w:rPr>
      </w:pPr>
    </w:p>
    <w:p>
      <w:pPr>
        <w:ind w:right="180" w:firstLine="627"/>
        <w:spacing w:after="0" w:line="277" w:lineRule="auto"/>
        <w:rPr>
          <w:sz w:val="20"/>
          <w:szCs w:val="20"/>
          <w:color w:val="auto"/>
        </w:rPr>
      </w:pPr>
      <w:r>
        <w:rPr>
          <w:rFonts w:ascii="Arial" w:cs="Arial" w:eastAsia="Arial" w:hAnsi="Arial"/>
          <w:sz w:val="17"/>
          <w:szCs w:val="17"/>
          <w:color w:val="auto"/>
        </w:rPr>
        <w:t>We may not be able to detect and remediate vulnerabilities in our information technology systems because the threats and techniques used to exploit vulnerabilities change frequently and are often sophisticated in nature. Therefore, such vulnerabilities could be exploited but may not be detected until after a security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incident has occurred. Such vulnerabilities could pose material risks to our business. Further, we may experience delays in developing and deploying remedial measures designed to address any such identified vulnerabilities. It is not possible to prevent all threats to our information technology systems and those of our third-party service providers, over which we exert less control, and any controls we implement to do so may prove to be ineffective.</w:t>
      </w:r>
    </w:p>
    <w:p>
      <w:pPr>
        <w:spacing w:after="0" w:line="165" w:lineRule="exact"/>
        <w:rPr>
          <w:sz w:val="20"/>
          <w:szCs w:val="20"/>
          <w:color w:val="auto"/>
        </w:rPr>
      </w:pPr>
    </w:p>
    <w:p>
      <w:pPr>
        <w:ind w:right="20" w:firstLine="627"/>
        <w:spacing w:after="0" w:line="263" w:lineRule="auto"/>
        <w:rPr>
          <w:sz w:val="20"/>
          <w:szCs w:val="20"/>
          <w:color w:val="auto"/>
        </w:rPr>
      </w:pPr>
      <w:r>
        <w:rPr>
          <w:rFonts w:ascii="Arial" w:cs="Arial" w:eastAsia="Arial" w:hAnsi="Arial"/>
          <w:sz w:val="17"/>
          <w:szCs w:val="17"/>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delays or disruptions in our clinical trials and development of product candidates, deter customers from using our products, and negatively impact our ability to grow and operate our business.</w:t>
      </w:r>
    </w:p>
    <w:p>
      <w:pPr>
        <w:spacing w:after="0" w:line="171" w:lineRule="exact"/>
        <w:rPr>
          <w:sz w:val="20"/>
          <w:szCs w:val="20"/>
          <w:color w:val="auto"/>
        </w:rPr>
      </w:pPr>
    </w:p>
    <w:p>
      <w:pPr>
        <w:ind w:right="80" w:firstLine="627"/>
        <w:spacing w:after="0" w:line="263"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although we maintain cyber liability insurance,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adverse impacts relating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We are subject to stringent and evolving U.S. laws and regulations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50" w:lineRule="exact"/>
        <w:rPr>
          <w:sz w:val="20"/>
          <w:szCs w:val="20"/>
          <w:color w:val="auto"/>
        </w:rPr>
      </w:pPr>
    </w:p>
    <w:p>
      <w:pPr>
        <w:ind w:right="140" w:firstLine="627"/>
        <w:spacing w:after="0" w:line="266" w:lineRule="auto"/>
        <w:rPr>
          <w:sz w:val="20"/>
          <w:szCs w:val="20"/>
          <w:color w:val="auto"/>
        </w:rPr>
      </w:pPr>
      <w:r>
        <w:rPr>
          <w:rFonts w:ascii="Arial" w:cs="Arial" w:eastAsia="Arial" w:hAnsi="Arial"/>
          <w:sz w:val="17"/>
          <w:szCs w:val="17"/>
          <w:color w:val="auto"/>
        </w:rPr>
        <w:t>In the ordinary course of business, we and the third parties on which we rely process personal data and other sensitive information, including proprietary and confidential business data, trade secrets, intellectual property, data we collect about clinical trial participants and sensitive third-party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0" w:lineRule="exact"/>
        <w:rPr>
          <w:sz w:val="20"/>
          <w:szCs w:val="20"/>
          <w:color w:val="auto"/>
        </w:rPr>
      </w:pPr>
    </w:p>
    <w:p>
      <w:pPr>
        <w:ind w:right="20" w:firstLine="627"/>
        <w:spacing w:after="0" w:line="261" w:lineRule="auto"/>
        <w:rPr>
          <w:sz w:val="20"/>
          <w:szCs w:val="20"/>
          <w:color w:val="auto"/>
        </w:rPr>
      </w:pPr>
      <w:r>
        <w:rPr>
          <w:rFonts w:ascii="Arial" w:cs="Arial" w:eastAsia="Arial" w:hAnsi="Arial"/>
          <w:sz w:val="17"/>
          <w:szCs w:val="17"/>
          <w:color w:val="auto"/>
        </w:rPr>
        <w:t>The legislative and regulatory framework for the processing of personal data worldwide is rapidly evolving and is likely to remain uncertain for the foreseeable future. In the U.S., there are numerous federal and state privacy and data security laws and regulations governing the collection, use, disclosure, transfer, security and processing of personal information, including federal and state health information privacy laws, federal and state security breach notification laws, federal and state consumer protection laws (e.g., Section 5 of the Federal Trade Commission Act, the California Consumer Privacy Act (the "CCPA")), and other similar laws. In addition, we may obtain health information from third parties (including research institutions from which we obtain clinical trial data) that are subject to HIPAA, which imposes specific requirements relating to the privacy, security, and transmission of individually identifiable health information. Depending on the facts and circumstances, we could be subject to civil and criminal penalties if we knowingly obtain, use or disclose individually identifiable health information maintained by a HIPAA-covered entity in a manner that is not authorized or permitted by HIPAA.</w:t>
      </w:r>
    </w:p>
    <w:p>
      <w:pPr>
        <w:spacing w:after="0" w:line="175"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At the state level, numerous U.S. states have enacted comprehensive privacy laws that impose certain obligations on covered businesses. For example, For example, the CCPA establishes data privacy rights for individuals located in California and imposes certain requirements on how businesses can collect, use, and share personal information about such individuals. The California Privacy Rights Act, or the CPRA, significantly modified the CCPA and imposes additional obligations on companies covered by the legislation, including by expanding consumers’ rights with respect to personal information, and established a state agency vested with</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authority to enforce the CCPA While these state laws exempt some data processed in the context of clinical trials, these developments may further complicate compliance efforts, and increase legal risk and compliance costs for us and the third parties upon whom we rely. Furthermore, other states have proposed or enacted legislation that is focused on more narrow aspects of privacy. For example, a number of states have passed laws that are specifically focused upon health privacy, such as Washington’s My Health My Data Act, which imposes an additional layer of protection regarding consumer health data and creates a private right of action. A smaller number of states have passed laws protecting biometric information. The effects of state and federal privacy laws are potentially significant and may require us to modify our data processing practices and policies and to incur substantial costs and potential liability in an effort to comply with them.</w:t>
      </w:r>
    </w:p>
    <w:p>
      <w:pPr>
        <w:spacing w:after="0" w:line="171" w:lineRule="exact"/>
        <w:rPr>
          <w:sz w:val="20"/>
          <w:szCs w:val="20"/>
          <w:color w:val="auto"/>
        </w:rPr>
      </w:pPr>
    </w:p>
    <w:p>
      <w:pPr>
        <w:ind w:right="20" w:firstLine="627"/>
        <w:spacing w:after="0" w:line="266" w:lineRule="auto"/>
        <w:rPr>
          <w:sz w:val="20"/>
          <w:szCs w:val="20"/>
          <w:color w:val="auto"/>
        </w:rPr>
      </w:pPr>
      <w:r>
        <w:rPr>
          <w:rFonts w:ascii="Arial" w:cs="Arial" w:eastAsia="Arial" w:hAnsi="Arial"/>
          <w:sz w:val="17"/>
          <w:szCs w:val="17"/>
          <w:color w:val="auto"/>
        </w:rPr>
        <w:t>Additionally, through executive and legislative action, the federal government has taken steps to restrict data transactions involving certain sensitive data categories – including health data, genetic data, and biospecimens – with persons or entities affiliated with China and certain other countries of concern. These current and future data privacy laws and regulations may require us to modify our data collection or processing practices and policies, incur substantial costs and expenses in an effort to comply and increase our potential exposure to regulatory enforcement, reputational damage, and/or litigation.</w:t>
      </w:r>
    </w:p>
    <w:p>
      <w:pPr>
        <w:spacing w:after="0" w:line="170" w:lineRule="exact"/>
        <w:rPr>
          <w:sz w:val="20"/>
          <w:szCs w:val="20"/>
          <w:color w:val="auto"/>
        </w:rPr>
      </w:pPr>
    </w:p>
    <w:p>
      <w:pPr>
        <w:ind w:firstLine="627"/>
        <w:spacing w:after="0" w:line="260" w:lineRule="auto"/>
        <w:rPr>
          <w:sz w:val="20"/>
          <w:szCs w:val="20"/>
          <w:color w:val="auto"/>
        </w:rPr>
      </w:pPr>
      <w:r>
        <w:rPr>
          <w:rFonts w:ascii="Arial" w:cs="Arial" w:eastAsia="Arial" w:hAnsi="Arial"/>
          <w:sz w:val="17"/>
          <w:szCs w:val="17"/>
          <w:color w:val="auto"/>
        </w:rPr>
        <w:t>Outside the U.S., an increasing number of laws, regulations, and industry standards may govern data privacy and security. For example, if we commence clinical trials in Europe, which we anticipate commencing if our product candidates advance to later stages of development, our processing of personal data in that context would become subject to the European Union’s General Data Protection Regulation (“EU GDPR”), and/or the United Kingdom’s so-called “UK GDPR” (together, the “GDPR”). The GDPR is wide-ranging in scope and imposes numerous requirements on companies that are subject to it, including relating to having a legal basis for processing personal data, relating to the processing of sensitive data (such as health data), obtaining consent of the individuals to whom the personal data relates, providing information to individuals regarding data processing activities, implementing safeguards to protect the security and confidentiality of personal data, notification of data breaches, requiring data protection impact assessments for high risk processing and taking certain measures when engaging third-party processors. The GDPR also imposes strict rules on the transfer of personal data to countries outside the European Union and the UK, including the U.S.,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383" w:lineRule="exact"/>
        <w:rPr>
          <w:sz w:val="20"/>
          <w:szCs w:val="20"/>
          <w:color w:val="auto"/>
        </w:rPr>
      </w:pPr>
    </w:p>
    <w:p>
      <w:pPr>
        <w:ind w:right="20" w:firstLine="627"/>
        <w:spacing w:after="0" w:line="259" w:lineRule="auto"/>
        <w:rPr>
          <w:sz w:val="20"/>
          <w:szCs w:val="20"/>
          <w:color w:val="auto"/>
        </w:rPr>
      </w:pPr>
      <w:r>
        <w:rPr>
          <w:rFonts w:ascii="Arial" w:cs="Arial" w:eastAsia="Arial" w:hAnsi="Arial"/>
          <w:sz w:val="17"/>
          <w:szCs w:val="17"/>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U.S. and other countries whose privacy laws it considers inadequate. Other jurisdictions may adopt similarly stringent data localization and cross-border data transfer laws. Although there are currently various mechanisms that may be used to transfer personal data from the EEA and UK to the U.S.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80" w:firstLine="627"/>
        <w:spacing w:after="0" w:line="270" w:lineRule="auto"/>
        <w:rPr>
          <w:sz w:val="20"/>
          <w:szCs w:val="20"/>
          <w:color w:val="auto"/>
        </w:rPr>
      </w:pPr>
      <w:r>
        <w:rPr>
          <w:rFonts w:ascii="Arial" w:cs="Arial" w:eastAsia="Arial" w:hAnsi="Arial"/>
          <w:sz w:val="17"/>
          <w:szCs w:val="17"/>
          <w:color w:val="auto"/>
        </w:rPr>
        <w:t>We are also bound by contractual obligations related to data privacy and security, and our efforts to comply with such obligations may not be successful. If any privacy policies, marketing materials and other statements regarding data privacy and security that we publish are found to be deficient, lacking in transparency, deceptive, unfair or misrepresentative of our practices, we may be subject to investigation, enforcement actions by regulators, including the Federal Trade Commission, or other adverse consequences.</w:t>
      </w:r>
    </w:p>
    <w:p>
      <w:pPr>
        <w:spacing w:after="0" w:line="165" w:lineRule="exact"/>
        <w:rPr>
          <w:sz w:val="20"/>
          <w:szCs w:val="20"/>
          <w:color w:val="auto"/>
        </w:rPr>
      </w:pPr>
    </w:p>
    <w:p>
      <w:pPr>
        <w:ind w:right="260" w:firstLine="627"/>
        <w:spacing w:after="0" w:line="266" w:lineRule="auto"/>
        <w:rPr>
          <w:sz w:val="20"/>
          <w:szCs w:val="20"/>
          <w:color w:val="auto"/>
        </w:rPr>
      </w:pPr>
      <w:r>
        <w:rPr>
          <w:rFonts w:ascii="Arial" w:cs="Arial" w:eastAsia="Arial" w:hAnsi="Arial"/>
          <w:sz w:val="17"/>
          <w:szCs w:val="17"/>
          <w:color w:val="auto"/>
        </w:rPr>
        <w:t>Laws and regulations related to privacy, data protection and security are continuing to evolve and are becoming increasingly stringent. Additionally, these laws may be subject to differing applications and interpretations, which may be inconsistent or conflict among jurisdictions, creating uncertainty. Preparing for and complying with these obligations requires us to devote significant resources, which may necessitate changes to the ways in which we collect and process data, our information technologies, systems and to exercise greater oversight and control over third parties that process personal data on our behalf.</w:t>
      </w:r>
    </w:p>
    <w:p>
      <w:pPr>
        <w:spacing w:after="0" w:line="170"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we rely on fail, or are perceived to have failed, to address or comply with applicable data privacy and security obligations, we may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and development of product candidates);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7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Artificial intelligence presents risks and challenges that can impact our business, including by posing cybersecurity risks to our confidential information, proprietary information, and personal data.</w:t>
      </w:r>
    </w:p>
    <w:p>
      <w:pPr>
        <w:spacing w:after="0" w:line="20" w:lineRule="exact"/>
        <w:rPr>
          <w:sz w:val="20"/>
          <w:szCs w:val="20"/>
          <w:color w:val="auto"/>
        </w:rPr>
      </w:pPr>
    </w:p>
    <w:p>
      <w:pPr>
        <w:ind w:right="20" w:firstLine="627"/>
        <w:spacing w:after="0" w:line="262" w:lineRule="auto"/>
        <w:rPr>
          <w:sz w:val="20"/>
          <w:szCs w:val="20"/>
          <w:color w:val="auto"/>
        </w:rPr>
      </w:pPr>
      <w:r>
        <w:rPr>
          <w:rFonts w:ascii="Arial" w:cs="Arial" w:eastAsia="Arial" w:hAnsi="Arial"/>
          <w:sz w:val="17"/>
          <w:szCs w:val="17"/>
          <w:color w:val="auto"/>
        </w:rPr>
        <w:t>We may use, and our vendors may incorporate, artificial intelligence, or AI, both in our own development and implementation of AI and through the adoption of commercially available tools. The use of AI presents risks and challenges that could adversely affect our business and reputation, including cybersecurity, data privacy, IT, confidentiality, regulatory, legal, operational, competitive, reputational, intellectual property and other risks. For example, use of certain AI tools may increase the risk of unauthorized disclosure of confidential information, compromise of proprietary intellectual property, or inadvertent inclusion of third-party intellectual property or other protected material, which could result in disputes, claims of infringement, legal liabilities or financial losses. The rapidly evolving regulatory landscape surrounding AI also poses a risk, as new laws and regulations could impose additional compliance burdens, resulting in increased operational costs to comply with U.S. and non-U.S. laws concerning the use of AI, the nature of which cannot be determined at this time.</w:t>
      </w:r>
    </w:p>
    <w:p>
      <w:pPr>
        <w:spacing w:after="0" w:line="173" w:lineRule="exact"/>
        <w:rPr>
          <w:sz w:val="20"/>
          <w:szCs w:val="20"/>
          <w:color w:val="auto"/>
        </w:rPr>
      </w:pPr>
    </w:p>
    <w:p>
      <w:pPr>
        <w:ind w:right="120" w:firstLine="627"/>
        <w:spacing w:after="0" w:line="264" w:lineRule="auto"/>
        <w:rPr>
          <w:sz w:val="20"/>
          <w:szCs w:val="20"/>
          <w:color w:val="auto"/>
        </w:rPr>
      </w:pPr>
      <w:r>
        <w:rPr>
          <w:rFonts w:ascii="Arial" w:cs="Arial" w:eastAsia="Arial" w:hAnsi="Arial"/>
          <w:sz w:val="17"/>
          <w:szCs w:val="17"/>
          <w:color w:val="auto"/>
        </w:rPr>
        <w:t>Additionally, our vendors may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spacing w:after="0" w:line="276" w:lineRule="exact"/>
        <w:rPr>
          <w:sz w:val="20"/>
          <w:szCs w:val="20"/>
          <w:color w:val="auto"/>
        </w:rPr>
      </w:pPr>
    </w:p>
    <w:p>
      <w:pPr>
        <w:jc w:val="both"/>
        <w:ind w:right="200"/>
        <w:spacing w:after="0" w:line="282" w:lineRule="auto"/>
        <w:rPr>
          <w:sz w:val="20"/>
          <w:szCs w:val="20"/>
          <w:color w:val="auto"/>
        </w:rPr>
      </w:pPr>
      <w:r>
        <w:rPr>
          <w:rFonts w:ascii="Arial" w:cs="Arial" w:eastAsia="Arial" w:hAnsi="Arial"/>
          <w:sz w:val="17"/>
          <w:szCs w:val="17"/>
          <w:b w:val="1"/>
          <w:bCs w:val="1"/>
          <w:i w:val="1"/>
          <w:iCs w:val="1"/>
          <w:color w:val="auto"/>
        </w:rPr>
        <w:t>We are subject to governmental export and import controls, economic sanctions, anti-corruption laws and regulations of the U.S. and other jurisdictions. We can face criminal liability and other serious consequences for violations of these laws and regulations, which could harm our business.</w:t>
      </w:r>
    </w:p>
    <w:p>
      <w:pPr>
        <w:spacing w:after="0" w:line="42" w:lineRule="exact"/>
        <w:rPr>
          <w:sz w:val="20"/>
          <w:szCs w:val="20"/>
          <w:color w:val="auto"/>
        </w:rPr>
      </w:pPr>
    </w:p>
    <w:p>
      <w:pPr>
        <w:ind w:right="320" w:firstLine="627"/>
        <w:spacing w:after="0" w:line="270" w:lineRule="auto"/>
        <w:rPr>
          <w:sz w:val="20"/>
          <w:szCs w:val="20"/>
          <w:color w:val="auto"/>
        </w:rPr>
      </w:pPr>
      <w:r>
        <w:rPr>
          <w:rFonts w:ascii="Arial" w:cs="Arial" w:eastAsia="Arial" w:hAnsi="Arial"/>
          <w:sz w:val="17"/>
          <w:szCs w:val="17"/>
          <w:color w:val="auto"/>
        </w:rPr>
        <w:t>We are subject to and required to comply with various export control, import and trade and economic sanctions laws and regulations, including the U.S. Export Administration Regulations, U.S. Customs regulations and sanctions regulations administered by the U.S. Treasury Department’s Office of Foreign Assets Controls. These laws may prohibit or restrict our ability to transfer, sell or supply, our products to certain governments,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persons, entities, countries, and territories, including those that are the target of comprehensive sanctions or an embargo.</w:t>
      </w:r>
    </w:p>
    <w:p>
      <w:pPr>
        <w:spacing w:after="0" w:line="222" w:lineRule="exact"/>
        <w:rPr>
          <w:sz w:val="20"/>
          <w:szCs w:val="20"/>
          <w:color w:val="auto"/>
        </w:rPr>
      </w:pPr>
    </w:p>
    <w:p>
      <w:pPr>
        <w:ind w:right="60" w:firstLine="627"/>
        <w:spacing w:after="0" w:line="260" w:lineRule="auto"/>
        <w:rPr>
          <w:sz w:val="20"/>
          <w:szCs w:val="20"/>
          <w:color w:val="auto"/>
        </w:rPr>
      </w:pPr>
      <w:r>
        <w:rPr>
          <w:rFonts w:ascii="Arial" w:cs="Arial" w:eastAsia="Arial" w:hAnsi="Arial"/>
          <w:sz w:val="17"/>
          <w:szCs w:val="17"/>
          <w:color w:val="auto"/>
        </w:rPr>
        <w:t>We are also subject to anti-corruption and anti-bribery laws, including the U.S. Foreign Corrupt Practices Act of 1977, as amended (the “FCPA”), the U.S. domestic bribery statute contained in 18 U.S.C. § 201, the U.S. Travel Act, and other state and national anti-bribery and anti-money laundering laws in the countries in which we conduct activities. Anti-corruption laws, including the FCPA, generally prohibit companies and their employees, agents, CROs, contractors and other partners from offering, promising, giving, soliciting or authorizing others to give or receive anything of value, either directly or indirectly, to or from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CROs,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1"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controls over financial reporting, our ability to produce accurate financial statements on a timely basis could be impaired.</w:t>
      </w:r>
    </w:p>
    <w:p>
      <w:pPr>
        <w:spacing w:after="0" w:line="20" w:lineRule="exact"/>
        <w:rPr>
          <w:sz w:val="20"/>
          <w:szCs w:val="20"/>
          <w:color w:val="auto"/>
        </w:rPr>
      </w:pPr>
    </w:p>
    <w:p>
      <w:pPr>
        <w:ind w:right="200" w:firstLine="627"/>
        <w:spacing w:after="0" w:line="277" w:lineRule="auto"/>
        <w:rPr>
          <w:sz w:val="20"/>
          <w:szCs w:val="20"/>
          <w:color w:val="auto"/>
        </w:rPr>
      </w:pPr>
      <w:r>
        <w:rPr>
          <w:rFonts w:ascii="Arial" w:cs="Arial" w:eastAsia="Arial" w:hAnsi="Arial"/>
          <w:sz w:val="17"/>
          <w:szCs w:val="17"/>
          <w:color w:val="auto"/>
        </w:rPr>
        <w:t>We are subject to the reporting requirements of the Exchange Act, the Sarbanes-Oxley Act of 2002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spacing w:after="0" w:line="159" w:lineRule="exact"/>
        <w:rPr>
          <w:sz w:val="20"/>
          <w:szCs w:val="20"/>
          <w:color w:val="auto"/>
        </w:rPr>
      </w:pPr>
    </w:p>
    <w:p>
      <w:pPr>
        <w:ind w:right="120" w:firstLine="627"/>
        <w:spacing w:after="0" w:line="262" w:lineRule="auto"/>
        <w:rPr>
          <w:sz w:val="20"/>
          <w:szCs w:val="20"/>
          <w:color w:val="auto"/>
        </w:rPr>
      </w:pPr>
      <w:r>
        <w:rPr>
          <w:rFonts w:ascii="Arial" w:cs="Arial" w:eastAsia="Arial" w:hAnsi="Arial"/>
          <w:sz w:val="17"/>
          <w:szCs w:val="17"/>
          <w:color w:val="auto"/>
        </w:rPr>
        <w:t>Commencing with this Annual Report, we must perform system and process evaluation and testing of our internal control over financial reporting to allow management to report on the effectiveness of our internal control over financial reporting in our Form 10-K filing for each year, as required by Section 404 of the Sarbanes-Oxley Act. This requires that we incur substantial additional professional fees and internal costs to expand our accounting and finance functions and that we expend significant management efforts. Prior to our initial public offering, we had never been required to test our internal control within a specified period, and, as a result, we may experience difficulty in meeting these reporting requirements in a timely manner. In addition, when we lose our status as an “emerging growth company” and if we do not otherwise qualify as a “non-accelerated filer,” our independent registered public accounting firm will be required to attest to the effectiveness of our internal control over financial reporting, which will require additional expense, resources and management commitment.</w:t>
      </w:r>
    </w:p>
    <w:p>
      <w:pPr>
        <w:spacing w:after="0" w:line="173" w:lineRule="exact"/>
        <w:rPr>
          <w:sz w:val="20"/>
          <w:szCs w:val="20"/>
          <w:color w:val="auto"/>
        </w:rPr>
      </w:pPr>
    </w:p>
    <w:p>
      <w:pPr>
        <w:ind w:right="40" w:firstLine="627"/>
        <w:spacing w:after="0" w:line="266" w:lineRule="auto"/>
        <w:rPr>
          <w:sz w:val="20"/>
          <w:szCs w:val="20"/>
          <w:color w:val="auto"/>
        </w:rPr>
      </w:pPr>
      <w:r>
        <w:rPr>
          <w:rFonts w:ascii="Arial" w:cs="Arial" w:eastAsia="Arial" w:hAnsi="Arial"/>
          <w:sz w:val="17"/>
          <w:szCs w:val="17"/>
          <w:color w:val="auto"/>
        </w:rPr>
        <w:t>We may identify material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0" w:lineRule="exact"/>
        <w:rPr>
          <w:sz w:val="20"/>
          <w:szCs w:val="20"/>
          <w:color w:val="auto"/>
        </w:rPr>
      </w:pPr>
    </w:p>
    <w:p>
      <w:pPr>
        <w:ind w:right="80" w:firstLine="627"/>
        <w:spacing w:after="0" w:line="270"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consolidated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18" w:lineRule="exact"/>
        <w:rPr>
          <w:sz w:val="20"/>
          <w:szCs w:val="20"/>
          <w:color w:val="auto"/>
        </w:rPr>
      </w:pPr>
    </w:p>
    <w:p>
      <w:pPr>
        <w:ind w:firstLine="627"/>
        <w:spacing w:after="0" w:line="274" w:lineRule="auto"/>
        <w:rPr>
          <w:sz w:val="20"/>
          <w:szCs w:val="20"/>
          <w:color w:val="auto"/>
        </w:rPr>
      </w:pPr>
      <w:r>
        <w:rPr>
          <w:rFonts w:ascii="Arial" w:cs="Arial" w:eastAsia="Arial" w:hAnsi="Arial"/>
          <w:sz w:val="17"/>
          <w:szCs w:val="17"/>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able to utilize a significant portion of our net operating loss carryforwards.</w:t>
      </w:r>
    </w:p>
    <w:p>
      <w:pPr>
        <w:spacing w:after="0" w:line="118" w:lineRule="exact"/>
        <w:rPr>
          <w:sz w:val="20"/>
          <w:szCs w:val="20"/>
          <w:color w:val="auto"/>
        </w:rPr>
      </w:pPr>
    </w:p>
    <w:p>
      <w:pPr>
        <w:ind w:right="40" w:firstLine="627"/>
        <w:spacing w:after="0" w:line="263" w:lineRule="auto"/>
        <w:rPr>
          <w:sz w:val="20"/>
          <w:szCs w:val="20"/>
          <w:color w:val="auto"/>
        </w:rPr>
      </w:pPr>
      <w:r>
        <w:rPr>
          <w:rFonts w:ascii="Arial" w:cs="Arial" w:eastAsia="Arial" w:hAnsi="Arial"/>
          <w:sz w:val="17"/>
          <w:szCs w:val="17"/>
          <w:color w:val="auto"/>
        </w:rPr>
        <w:t>We have generated, and expect to continue to generate, significant federal and state net operating loss (“NOL”) carryforwards. As of December 31, 2025, we had federal and state net operating loss carryforwards of $148.0 million and $155.4 million, respectively. Under current tax laws and regulations, these NOL carryforwards could expire unused and be unavailable to offset future income tax liabilities. Under the Tax Cuts and Jobs Act, as modified by the Coronavirus Aid, Relief, and Economic Security Act, federal NOLs incurred in taxable years beginning after December 31, 2017 generally may be carried forward indefinitely, but the deductibility of such federal NOLs is limited to 80% of our taxable income for taxable years beginning after December 31, 2020. We cannot predict with certainty when, or whether, we will generate sufficient taxable income to use all of our NOLs.</w:t>
      </w:r>
    </w:p>
    <w:p>
      <w:pPr>
        <w:spacing w:after="0" w:line="171" w:lineRule="exact"/>
        <w:rPr>
          <w:sz w:val="20"/>
          <w:szCs w:val="20"/>
          <w:color w:val="auto"/>
        </w:rPr>
      </w:pPr>
    </w:p>
    <w:p>
      <w:pPr>
        <w:ind w:firstLine="627"/>
        <w:spacing w:after="0" w:line="263" w:lineRule="auto"/>
        <w:rPr>
          <w:sz w:val="20"/>
          <w:szCs w:val="20"/>
          <w:color w:val="auto"/>
        </w:rPr>
      </w:pPr>
      <w:r>
        <w:rPr>
          <w:rFonts w:ascii="Arial" w:cs="Arial" w:eastAsia="Arial" w:hAnsi="Arial"/>
          <w:sz w:val="17"/>
          <w:szCs w:val="17"/>
          <w:color w:val="auto"/>
        </w:rPr>
        <w:t>In addition, under Sections 382 and 383 of the Internal Revenue Code of 1986, as amended (the "IRC"), and corresponding provisions of state law, if a corporation undergoes an “ownership change,” which is generally defined as a greater than 50% change by value, in its equity ownership by certain stockholders over a rolling three-year period, the corporation’s ability to use its pre-change NOL carryforwards and other pre-change tax attributes to offset its post-change income or taxes may be limited. We may have experienced ownership changes in the past and may experience ownership changes as a result of subsequent shifts in our stock ownership which may be out of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w:t>
      </w:r>
    </w:p>
    <w:p>
      <w:pPr>
        <w:spacing w:after="0" w:line="276" w:lineRule="exact"/>
        <w:rPr>
          <w:sz w:val="20"/>
          <w:szCs w:val="20"/>
          <w:color w:val="auto"/>
        </w:rPr>
      </w:pPr>
    </w:p>
    <w:p>
      <w:pPr>
        <w:ind w:right="560"/>
        <w:spacing w:after="0" w:line="307" w:lineRule="auto"/>
        <w:rPr>
          <w:sz w:val="20"/>
          <w:szCs w:val="20"/>
          <w:color w:val="auto"/>
        </w:rPr>
      </w:pPr>
      <w:r>
        <w:rPr>
          <w:rFonts w:ascii="Arial" w:cs="Arial" w:eastAsia="Arial" w:hAnsi="Arial"/>
          <w:sz w:val="17"/>
          <w:szCs w:val="17"/>
          <w:b w:val="1"/>
          <w:bCs w:val="1"/>
          <w:i w:val="1"/>
          <w:iCs w:val="1"/>
          <w:color w:val="auto"/>
        </w:rPr>
        <w:t>New tax laws or regulations, changes to existing tax laws or regulations or changes in their application to us may have a material adverse effect on our business, cash flows, financial condition or results of operations.</w:t>
      </w:r>
    </w:p>
    <w:p>
      <w:pPr>
        <w:spacing w:after="0" w:line="22" w:lineRule="exact"/>
        <w:rPr>
          <w:sz w:val="20"/>
          <w:szCs w:val="20"/>
          <w:color w:val="auto"/>
        </w:rPr>
      </w:pPr>
    </w:p>
    <w:p>
      <w:pPr>
        <w:ind w:right="140" w:firstLine="627"/>
        <w:spacing w:after="0" w:line="266" w:lineRule="auto"/>
        <w:rPr>
          <w:sz w:val="20"/>
          <w:szCs w:val="20"/>
          <w:color w:val="auto"/>
        </w:rPr>
      </w:pPr>
      <w:r>
        <w:rPr>
          <w:rFonts w:ascii="Arial" w:cs="Arial" w:eastAsia="Arial" w:hAnsi="Arial"/>
          <w:sz w:val="17"/>
          <w:szCs w:val="17"/>
          <w:color w:val="auto"/>
        </w:rPr>
        <w:t>U.S. federal, state, local and foreign tax laws, regulations and administrative guidance are subject to change as a result of the legislative process and review and interpretation by the U.S. Internal Revenue Service, the U.S. Treasury Department and other taxing authorities. For example, budget reconciliation bill H.R. 1, referred to as the One Big Beautiful Bill Act ("H.R. 1") was signed into law on July 4, 2025, and made significant changes to U.S. federal tax law. Changes to tax laws (which changes may have retroactive application), including with respect to net operating losses and research and development tax credits, could adversely affect us or holders of our common stock.</w:t>
      </w:r>
    </w:p>
    <w:p>
      <w:pPr>
        <w:spacing w:after="0" w:line="170" w:lineRule="exact"/>
        <w:rPr>
          <w:sz w:val="20"/>
          <w:szCs w:val="20"/>
          <w:color w:val="auto"/>
        </w:rPr>
      </w:pPr>
    </w:p>
    <w:p>
      <w:pPr>
        <w:ind w:right="20" w:firstLine="627"/>
        <w:spacing w:after="0" w:line="259" w:lineRule="auto"/>
        <w:rPr>
          <w:sz w:val="20"/>
          <w:szCs w:val="20"/>
          <w:color w:val="auto"/>
        </w:rPr>
      </w:pPr>
      <w:r>
        <w:rPr>
          <w:rFonts w:ascii="Arial" w:cs="Arial" w:eastAsia="Arial" w:hAnsi="Arial"/>
          <w:sz w:val="17"/>
          <w:szCs w:val="17"/>
          <w:color w:val="auto"/>
        </w:rPr>
        <w:t>For example, under H.R. 1, taxpayers are now permitted to immediately deduct domestic research and development expenses for taxable years beginning after December 31, 2024. Taxpayers may alternatively elect to capitalize and amortize such expenses. In addition, H.R. 1 provides that for taxable years beginning after December 31, 2021 and before January 1, 2025, certain eligible taxpayers generally may elect to retroactively deduct expenses for domestic research and development expenses in such taxable years by filing amended tax returns for such taxable years, and all other taxpayers that are not eligible to make such an election and that amortized expenses for domestic research and development expenses in such taxable years generally may elect to accelerate and deduct the remaining unamortized amounts of such expenses</w:t>
      </w:r>
    </w:p>
    <w:p>
      <w:pPr>
        <w:spacing w:after="0" w:line="3" w:lineRule="exact"/>
        <w:rPr>
          <w:sz w:val="20"/>
          <w:szCs w:val="20"/>
          <w:color w:val="auto"/>
        </w:rPr>
      </w:pPr>
    </w:p>
    <w:p>
      <w:pPr>
        <w:ind w:right="140" w:firstLine="4"/>
        <w:spacing w:after="0" w:line="267" w:lineRule="auto"/>
        <w:tabs>
          <w:tab w:leader="none" w:pos="203"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the first taxable year beginning after December 31, 2024, or (ii) ratably over the two-taxable year period beginning with the first taxable year beginning after December 31, 2024. However, pursuant to Section 174 of the IRC, in taxable years beginning after December 31, 2021, foreign research and development expenses must continue to be capitalized and amortized.</w:t>
      </w:r>
    </w:p>
    <w:p>
      <w:pPr>
        <w:spacing w:after="0" w:line="167" w:lineRule="exact"/>
        <w:rPr>
          <w:sz w:val="20"/>
          <w:szCs w:val="20"/>
          <w:color w:val="auto"/>
        </w:rPr>
      </w:pPr>
    </w:p>
    <w:p>
      <w:pPr>
        <w:ind w:right="260" w:firstLine="627"/>
        <w:spacing w:after="0" w:line="298" w:lineRule="auto"/>
        <w:rPr>
          <w:sz w:val="20"/>
          <w:szCs w:val="20"/>
          <w:color w:val="auto"/>
        </w:rPr>
      </w:pPr>
      <w:r>
        <w:rPr>
          <w:rFonts w:ascii="Arial" w:cs="Arial" w:eastAsia="Arial" w:hAnsi="Arial"/>
          <w:sz w:val="17"/>
          <w:szCs w:val="17"/>
          <w:color w:val="auto"/>
        </w:rPr>
        <w:t>In recent years, many changes to tax laws have been made and changes are likely to continue to occur in the future. Since early 2025, U.S. policy changes have been implemented at a rapid pace, and additional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20"/>
        <w:spacing w:after="0" w:line="298" w:lineRule="auto"/>
        <w:rPr>
          <w:sz w:val="20"/>
          <w:szCs w:val="20"/>
          <w:color w:val="auto"/>
        </w:rPr>
      </w:pPr>
      <w:r>
        <w:rPr>
          <w:rFonts w:ascii="Arial" w:cs="Arial" w:eastAsia="Arial" w:hAnsi="Arial"/>
          <w:sz w:val="17"/>
          <w:szCs w:val="17"/>
          <w:color w:val="auto"/>
        </w:rPr>
        <w:t>changes, including to tax laws, are likely. Future changes in tax laws could have a material adverse effect on our business, cash flow, financial condition or results of operations.</w:t>
      </w:r>
    </w:p>
    <w:p>
      <w:pPr>
        <w:spacing w:after="0" w:line="246"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b w:val="1"/>
          <w:bCs w:val="1"/>
          <w:i w:val="1"/>
          <w:iCs w:val="1"/>
          <w:color w:val="auto"/>
        </w:rPr>
        <w:t>We are eligible to be treated as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42"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(the “JOBS Act”). For as long as we continue to be an emerging growth company, we may take advantage of certain exemptions from reporting requirements that are applicable to other public companies that are not emerging growth companies, including:</w:t>
      </w:r>
    </w:p>
    <w:p>
      <w:pPr>
        <w:spacing w:after="0" w:line="54" w:lineRule="exact"/>
        <w:rPr>
          <w:sz w:val="20"/>
          <w:szCs w:val="20"/>
          <w:color w:val="auto"/>
        </w:rPr>
      </w:pPr>
    </w:p>
    <w:p>
      <w:pPr>
        <w:ind w:left="620" w:hanging="146"/>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17" w:lineRule="exact"/>
        <w:rPr>
          <w:rFonts w:ascii="Arial" w:cs="Arial" w:eastAsia="Arial" w:hAnsi="Arial"/>
          <w:sz w:val="17"/>
          <w:szCs w:val="17"/>
          <w:color w:val="auto"/>
        </w:rPr>
      </w:pPr>
    </w:p>
    <w:p>
      <w:pPr>
        <w:ind w:left="640" w:right="820" w:hanging="166"/>
        <w:spacing w:after="0" w:line="298" w:lineRule="auto"/>
        <w:tabs>
          <w:tab w:leader="none" w:pos="6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correspondingly reduced “Management’s Discussion and Analysis of Financial Condition and Results of Operations” disclosure;</w:t>
      </w:r>
    </w:p>
    <w:p>
      <w:pPr>
        <w:spacing w:after="0" w:line="141" w:lineRule="exact"/>
        <w:rPr>
          <w:rFonts w:ascii="Arial" w:cs="Arial" w:eastAsia="Arial" w:hAnsi="Arial"/>
          <w:sz w:val="17"/>
          <w:szCs w:val="17"/>
          <w:color w:val="auto"/>
        </w:rPr>
      </w:pPr>
    </w:p>
    <w:p>
      <w:pPr>
        <w:ind w:left="640" w:right="280" w:hanging="166"/>
        <w:spacing w:after="0" w:line="277" w:lineRule="auto"/>
        <w:tabs>
          <w:tab w:leader="none" w:pos="6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54" w:lineRule="exact"/>
        <w:rPr>
          <w:rFonts w:ascii="Arial" w:cs="Arial" w:eastAsia="Arial" w:hAnsi="Arial"/>
          <w:sz w:val="17"/>
          <w:szCs w:val="17"/>
          <w:color w:val="auto"/>
        </w:rPr>
      </w:pPr>
    </w:p>
    <w:p>
      <w:pPr>
        <w:ind w:left="640" w:right="220" w:hanging="166"/>
        <w:spacing w:after="0" w:line="298" w:lineRule="auto"/>
        <w:tabs>
          <w:tab w:leader="none" w:pos="6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36" w:lineRule="exact"/>
        <w:rPr>
          <w:rFonts w:ascii="Arial" w:cs="Arial" w:eastAsia="Arial" w:hAnsi="Arial"/>
          <w:sz w:val="17"/>
          <w:szCs w:val="17"/>
          <w:color w:val="auto"/>
        </w:rPr>
      </w:pPr>
    </w:p>
    <w:p>
      <w:pPr>
        <w:ind w:left="640" w:right="460" w:hanging="166"/>
        <w:spacing w:after="0" w:line="298" w:lineRule="auto"/>
        <w:tabs>
          <w:tab w:leader="none" w:pos="6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 being required to hold a nonbinding advisory vote on executive compensation and stockholder approval of any golden parachute payments not previously approved.</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less attractive as a result, there may be a less active trading market for our common stock and our stock price may be more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volatile. We will remain an emerging growth company until the earlier of (1) the last day of the fiscal year (a) following the fifth anniversary of the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closing of our initial public offering, (b) in which we have total annual gross revenue of at least $1.235 billion or (c) in which we are deemed to be 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large accelerated filer, which means, among other conditions, that the market value of our common stock that is held by non-affiliates exceeds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$700 million as of the last business day of our most recently completed second fiscal quarter, and (2) the date on which we have issued more than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$1.0 billion in non-convertible debt during the prior three-year period.</w:t>
      </w:r>
    </w:p>
    <w:p>
      <w:pPr>
        <w:spacing w:after="0" w:line="206" w:lineRule="exact"/>
        <w:rPr>
          <w:sz w:val="20"/>
          <w:szCs w:val="20"/>
          <w:color w:val="auto"/>
        </w:rPr>
      </w:pPr>
    </w:p>
    <w:p>
      <w:pPr>
        <w:ind w:right="200" w:firstLine="627"/>
        <w:spacing w:after="0" w:line="266" w:lineRule="auto"/>
        <w:rPr>
          <w:sz w:val="20"/>
          <w:szCs w:val="20"/>
          <w:color w:val="auto"/>
        </w:rPr>
      </w:pPr>
      <w:r>
        <w:rPr>
          <w:rFonts w:ascii="Arial" w:cs="Arial" w:eastAsia="Arial" w:hAnsi="Arial"/>
          <w:sz w:val="17"/>
          <w:szCs w:val="17"/>
          <w:color w:val="auto"/>
        </w:rPr>
        <w:t>Under Section 107(b) of the JOBS Act, emerging growth companies can delay adopting new or revised accounting standards until such time as those standards apply to private companies, and we expect to rely on this exemption. 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incur significant costs and demands upon management as a result of being a public company.</w:t>
      </w:r>
    </w:p>
    <w:p>
      <w:pPr>
        <w:spacing w:after="0" w:line="118" w:lineRule="exact"/>
        <w:rPr>
          <w:sz w:val="20"/>
          <w:szCs w:val="20"/>
          <w:color w:val="auto"/>
        </w:rPr>
      </w:pPr>
    </w:p>
    <w:p>
      <w:pPr>
        <w:ind w:right="40" w:firstLine="627"/>
        <w:spacing w:after="0" w:line="261" w:lineRule="auto"/>
        <w:rPr>
          <w:sz w:val="20"/>
          <w:szCs w:val="20"/>
          <w:color w:val="auto"/>
        </w:rPr>
      </w:pPr>
      <w:r>
        <w:rPr>
          <w:rFonts w:ascii="Arial" w:cs="Arial" w:eastAsia="Arial" w:hAnsi="Arial"/>
          <w:sz w:val="17"/>
          <w:szCs w:val="17"/>
          <w:color w:val="auto"/>
        </w:rPr>
        <w:t>As a public company, we incur significant additional legal, accounting and other costs that we did not incur as a private company. We are now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additional compliance costs and impact the manner in which we operate our business in ways we cannot currently anticipate.</w:t>
      </w:r>
    </w:p>
    <w:p>
      <w:pPr>
        <w:spacing w:after="0" w:line="222" w:lineRule="exact"/>
        <w:rPr>
          <w:sz w:val="20"/>
          <w:szCs w:val="20"/>
          <w:color w:val="auto"/>
        </w:rPr>
      </w:pPr>
    </w:p>
    <w:p>
      <w:pPr>
        <w:ind w:right="60" w:firstLine="627"/>
        <w:spacing w:after="0" w:line="270"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as compared to a private company. If these requirements divert the attention of our management and personnel from other business concerns, they could have an adverse effect on our business. The increased costs will increase our net loss, and may require us to reduce costs in other areas of our business.</w:t>
      </w:r>
    </w:p>
    <w:p>
      <w:pPr>
        <w:spacing w:after="0" w:line="26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Unstable global economic and geopolitical conditions could adversely affect our business, financial condition, stock price, and results of operations.</w:t>
      </w:r>
    </w:p>
    <w:p>
      <w:pPr>
        <w:spacing w:after="0" w:line="20" w:lineRule="exact"/>
        <w:rPr>
          <w:sz w:val="20"/>
          <w:szCs w:val="20"/>
          <w:color w:val="auto"/>
        </w:rPr>
      </w:pPr>
    </w:p>
    <w:p>
      <w:pPr>
        <w:ind w:firstLine="627"/>
        <w:spacing w:after="0" w:line="263" w:lineRule="auto"/>
        <w:rPr>
          <w:sz w:val="20"/>
          <w:szCs w:val="20"/>
          <w:color w:val="auto"/>
        </w:rPr>
      </w:pPr>
      <w:r>
        <w:rPr>
          <w:rFonts w:ascii="Arial" w:cs="Arial" w:eastAsia="Arial" w:hAnsi="Arial"/>
          <w:sz w:val="17"/>
          <w:szCs w:val="17"/>
          <w:color w:val="auto"/>
        </w:rPr>
        <w:t>The global economy and financial markets have experienced extreme volatility and disruptions, including severely diminished liquidity and credit availability, declines in consumer confidence, inflation, declines in economic growth, global supply chain disruptions, and uncertainty about economic stability. The global economy and financial markets may also be adversely affected by actual or anticipated changes in U.S. policies or regulatory environment, current or anticipated impact of military conflict, including the ongoing conflicts between Russia and Ukraine, and in the Middle East, terrorism or other geopolitical events. Sanctions imposed by the U.S. and other countries in response to such conflicts may adversely impact the financial markets and the global economy, and the economic countermeasures by the affected countries or others could exacerbate market and economic instability.</w:t>
      </w:r>
    </w:p>
    <w:p>
      <w:pPr>
        <w:spacing w:after="0" w:line="171" w:lineRule="exact"/>
        <w:rPr>
          <w:sz w:val="20"/>
          <w:szCs w:val="20"/>
          <w:color w:val="auto"/>
        </w:rPr>
      </w:pPr>
    </w:p>
    <w:p>
      <w:pPr>
        <w:ind w:right="60" w:firstLine="627"/>
        <w:spacing w:after="0" w:line="261" w:lineRule="auto"/>
        <w:rPr>
          <w:sz w:val="20"/>
          <w:szCs w:val="20"/>
          <w:color w:val="auto"/>
        </w:rPr>
      </w:pPr>
      <w:r>
        <w:rPr>
          <w:rFonts w:ascii="Arial" w:cs="Arial" w:eastAsia="Arial" w:hAnsi="Arial"/>
          <w:sz w:val="17"/>
          <w:szCs w:val="17"/>
          <w:color w:val="auto"/>
        </w:rPr>
        <w:t>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continue to deteriorate, it may make any necessary equity or debt financing more difficult, more costly, and more dilutive. Failure to secure any necessary financing in a timely manner and on favorable terms could have a material adverse effect on our growth strategy, financial performance and stock price and could require us to delay, scale back or discontinue the clinical development of one or more of our product candidates.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72" w:lineRule="exact"/>
        <w:rPr>
          <w:sz w:val="20"/>
          <w:szCs w:val="20"/>
          <w:color w:val="auto"/>
        </w:rPr>
      </w:pPr>
    </w:p>
    <w:p>
      <w:pPr>
        <w:ind w:right="120" w:firstLine="627"/>
        <w:spacing w:after="0" w:line="261" w:lineRule="auto"/>
        <w:rPr>
          <w:sz w:val="20"/>
          <w:szCs w:val="20"/>
          <w:color w:val="auto"/>
        </w:rPr>
      </w:pPr>
      <w:r>
        <w:rPr>
          <w:rFonts w:ascii="Arial" w:cs="Arial" w:eastAsia="Arial" w:hAnsi="Arial"/>
          <w:sz w:val="17"/>
          <w:szCs w:val="17"/>
          <w:color w:val="auto"/>
        </w:rPr>
        <w:t>Changes in U.S. federal policy that affect the geopolitical landscape could give rise to circumstances outside our control that could have negative impacts on our business operations. For example, in 2025, the U.S. imposed broad-based tariffs on imports from almost all countries, including significant tariffs applicable to imports from China, where certain of our clinical trial materials are manufactured. In response to tariffs, other countries have implemented retaliatory tariffs on U.S. goods. While certain tariffs were subsequently suspended, modified, or temporarily reduced, their impact has already been seen, and we expect will continue to be seen, in global markets. Historically, tariffs have led to increased trade and political tensions between the U.S. and countries in the international community.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28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become involved in litigation that could divert management’s attention and harm our business, and insurance coverage may not be sufficient to cover all costs and damages.</w:t>
      </w:r>
    </w:p>
    <w:p>
      <w:pPr>
        <w:spacing w:after="0" w:line="20" w:lineRule="exact"/>
        <w:rPr>
          <w:sz w:val="20"/>
          <w:szCs w:val="20"/>
          <w:color w:val="auto"/>
        </w:rPr>
      </w:pPr>
    </w:p>
    <w:p>
      <w:pPr>
        <w:ind w:right="60" w:firstLine="627"/>
        <w:spacing w:after="0" w:line="270" w:lineRule="auto"/>
        <w:rPr>
          <w:sz w:val="20"/>
          <w:szCs w:val="20"/>
          <w:color w:val="auto"/>
        </w:rPr>
      </w:pPr>
      <w:r>
        <w:rPr>
          <w:rFonts w:ascii="Arial" w:cs="Arial" w:eastAsia="Arial" w:hAnsi="Arial"/>
          <w:sz w:val="17"/>
          <w:szCs w:val="17"/>
          <w:color w:val="auto"/>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We may be exposed to such litigation even if no wrongdoing on our part has occurred. Litigation to defend ourselves against claims by third parties, or to enforce any rights that we may have against third parties, could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700"/>
        <w:spacing w:after="0" w:line="298" w:lineRule="auto"/>
        <w:rPr>
          <w:sz w:val="20"/>
          <w:szCs w:val="20"/>
          <w:color w:val="auto"/>
        </w:rPr>
      </w:pPr>
      <w:r>
        <w:rPr>
          <w:rFonts w:ascii="Arial" w:cs="Arial" w:eastAsia="Arial" w:hAnsi="Arial"/>
          <w:sz w:val="17"/>
          <w:szCs w:val="17"/>
          <w:color w:val="auto"/>
        </w:rPr>
        <w:t>result in substantial costs and diversion of our resources, causing a material adverse effect on our business, financial condition, results of operations or cash flows.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 Risk Management and Strategy</w:t>
      </w:r>
    </w:p>
    <w:p>
      <w:pPr>
        <w:spacing w:after="0" w:line="224"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We have implemented and maintain an information security program that includes processes for the identification, assessment, and mitigation of cybersecurity risks. We conduct periodic assessments of our assets as part of our risk management process and to evaluate the effectiveness of applicable security controls. These assessments are informed by industry standards. Our cybersecurity risk management process is a part of our overall risk management program. We also have an employee education program that includes training designed to raise awareness of cybersecurity threats. We maintain an incident response plan that outlines the legal and governance process for identifying and managing material cyber risks to our information and information systems and our framework for assessing and responding to cyber incidents, as applicable.</w:t>
      </w:r>
    </w:p>
    <w:p>
      <w:pPr>
        <w:spacing w:after="0" w:line="381" w:lineRule="exact"/>
        <w:rPr>
          <w:sz w:val="20"/>
          <w:szCs w:val="20"/>
          <w:color w:val="auto"/>
        </w:rPr>
      </w:pPr>
    </w:p>
    <w:p>
      <w:pPr>
        <w:jc w:val="both"/>
        <w:ind w:right="200" w:firstLine="627"/>
        <w:spacing w:after="0" w:line="277" w:lineRule="auto"/>
        <w:rPr>
          <w:sz w:val="20"/>
          <w:szCs w:val="20"/>
          <w:color w:val="auto"/>
        </w:rPr>
      </w:pPr>
      <w:r>
        <w:rPr>
          <w:rFonts w:ascii="Arial" w:cs="Arial" w:eastAsia="Arial" w:hAnsi="Arial"/>
          <w:sz w:val="17"/>
          <w:szCs w:val="17"/>
          <w:color w:val="auto"/>
        </w:rPr>
        <w:t>Although risks from cybersecurity threats have to date not materially affected us, our business strategy, results of operations or financial condition, we do, from time to time, experience threats and communicate security incidents relating to our and our third party vendors’ data and information systems. For more information about these risks, please refer to the section entitled “Risk Factors” in this Annual Report.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Related to Cybersecurity Risks</w:t>
      </w:r>
    </w:p>
    <w:p>
      <w:pPr>
        <w:spacing w:after="0" w:line="224" w:lineRule="exact"/>
        <w:rPr>
          <w:sz w:val="20"/>
          <w:szCs w:val="20"/>
          <w:color w:val="auto"/>
        </w:rPr>
      </w:pPr>
    </w:p>
    <w:p>
      <w:pPr>
        <w:ind w:right="80" w:firstLine="627"/>
        <w:spacing w:after="0" w:line="266" w:lineRule="auto"/>
        <w:rPr>
          <w:sz w:val="20"/>
          <w:szCs w:val="20"/>
          <w:color w:val="auto"/>
        </w:rPr>
      </w:pPr>
      <w:r>
        <w:rPr>
          <w:rFonts w:ascii="Arial" w:cs="Arial" w:eastAsia="Arial" w:hAnsi="Arial"/>
          <w:sz w:val="17"/>
          <w:szCs w:val="17"/>
          <w:color w:val="auto"/>
        </w:rPr>
        <w:t>Our head of information technology ("IT"), who reports to the Chief Financial Officer (collectively, "IT Leadership"), has primary responsibility for the strategic leadership and management of our cybersecurity program. Our head of IT has over 25 years of experience building and leading information technology and security teams. Our IT Leadership works alongside other functions to maintain and implement our cybersecurity strategy. Our IT Leadership meets as circumstances warrant with other members of our management, including executive leadership, to review and update incident response procedures and other aspects of our cybersecurity program.</w:t>
      </w:r>
    </w:p>
    <w:p>
      <w:pPr>
        <w:spacing w:after="0" w:line="170" w:lineRule="exact"/>
        <w:rPr>
          <w:sz w:val="20"/>
          <w:szCs w:val="20"/>
          <w:color w:val="auto"/>
        </w:rPr>
      </w:pPr>
    </w:p>
    <w:p>
      <w:pPr>
        <w:ind w:right="80" w:firstLine="627"/>
        <w:spacing w:after="0" w:line="266" w:lineRule="auto"/>
        <w:rPr>
          <w:sz w:val="20"/>
          <w:szCs w:val="20"/>
          <w:color w:val="auto"/>
        </w:rPr>
      </w:pPr>
      <w:r>
        <w:rPr>
          <w:rFonts w:ascii="Arial" w:cs="Arial" w:eastAsia="Arial" w:hAnsi="Arial"/>
          <w:sz w:val="17"/>
          <w:szCs w:val="17"/>
          <w:color w:val="auto"/>
        </w:rPr>
        <w:t>The audit committee of Sionna's board of directors has ultimate oversight over cybersecurity risk. Our IT Leadership presents to the audit committee periodically regarding cybersecurity matters, including updates on security testing and assessments, cyber risks, and related cyber strategy, as applicable. The Chief Financial Officer and the Chief Legal Officer are responsible for informing the audit committee in the event of any material cybersecurity incidents and any potential disclosure obligations arising from such incidents. The audit committee will update the board of directors on matters related to cybersecurity as needed.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24"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Our principal facilities consist of office and laboratory space. Our corporate headquarters is located in Waltham, Massachusetts, where we occupy approximately 24,051 square feet of office space at 21 Hickory Drive, Suite 500, Waltham, Massachusetts 02451. The current term of our lease expires in November 2030. We have the option to extend our lease for an additional five-year term at market-based rates.</w:t>
      </w:r>
    </w:p>
    <w:p>
      <w:pPr>
        <w:spacing w:after="0" w:line="159" w:lineRule="exact"/>
        <w:rPr>
          <w:sz w:val="20"/>
          <w:szCs w:val="20"/>
          <w:color w:val="auto"/>
        </w:rPr>
      </w:pPr>
    </w:p>
    <w:p>
      <w:pPr>
        <w:ind w:right="280" w:firstLine="627"/>
        <w:spacing w:after="0" w:line="277" w:lineRule="auto"/>
        <w:rPr>
          <w:sz w:val="20"/>
          <w:szCs w:val="20"/>
          <w:color w:val="auto"/>
        </w:rPr>
      </w:pPr>
      <w:r>
        <w:rPr>
          <w:rFonts w:ascii="Arial" w:cs="Arial" w:eastAsia="Arial" w:hAnsi="Arial"/>
          <w:sz w:val="17"/>
          <w:szCs w:val="17"/>
          <w:color w:val="auto"/>
        </w:rPr>
        <w:t>We believe these facilities are adequate for the foreseeable future and that suitable additional space will be available as and when needed. To meet the future needs of our business, we may lease additional or alternate space. We believe that suitable additional or substitute space at commercially reasonable terms will be available as needed to accommodate any future expansion of our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20" w:lineRule="exact"/>
        <w:rPr>
          <w:sz w:val="20"/>
          <w:szCs w:val="20"/>
          <w:color w:val="auto"/>
        </w:rPr>
      </w:pPr>
    </w:p>
    <w:p>
      <w:pPr>
        <w:ind w:right="320" w:firstLine="627"/>
        <w:spacing w:after="0" w:line="298" w:lineRule="auto"/>
        <w:rPr>
          <w:sz w:val="20"/>
          <w:szCs w:val="20"/>
          <w:color w:val="auto"/>
        </w:rPr>
      </w:pPr>
      <w:r>
        <w:rPr>
          <w:rFonts w:ascii="Arial" w:cs="Arial" w:eastAsia="Arial" w:hAnsi="Arial"/>
          <w:sz w:val="17"/>
          <w:szCs w:val="17"/>
          <w:color w:val="auto"/>
        </w:rPr>
        <w:t>From time to time, we may become involved in legal proceedings arising from the ordinary course of business. We record a liability for such matters when it is probable that future losses will be incurred and that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such losses can be reasonably estimated. Significant judgment by us is required to determine both probability and the estimated amount. Our management is currently not aware of any legal matters that could have a material effect on our financial position, results of operations or cash flows, nor are we aware of any governmental proceedings involving potential monetary sanctions of $300,000 or more.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PART II</w:t>
      </w:r>
    </w:p>
    <w:p>
      <w:pPr>
        <w:spacing w:after="0" w:line="222" w:lineRule="exact"/>
        <w:rPr>
          <w:sz w:val="20"/>
          <w:szCs w:val="20"/>
          <w:color w:val="auto"/>
        </w:rPr>
      </w:pPr>
    </w:p>
    <w:p>
      <w:pPr>
        <w:spacing w:after="0" w:line="310"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24" w:lineRule="exact"/>
        <w:rPr>
          <w:sz w:val="20"/>
          <w:szCs w:val="20"/>
          <w:color w:val="auto"/>
        </w:rPr>
      </w:pPr>
    </w:p>
    <w:p>
      <w:pPr>
        <w:ind w:right="160" w:firstLine="627"/>
        <w:spacing w:after="0" w:line="298" w:lineRule="auto"/>
        <w:rPr>
          <w:sz w:val="20"/>
          <w:szCs w:val="20"/>
          <w:color w:val="auto"/>
        </w:rPr>
      </w:pPr>
      <w:r>
        <w:rPr>
          <w:rFonts w:ascii="Arial" w:cs="Arial" w:eastAsia="Arial" w:hAnsi="Arial"/>
          <w:sz w:val="17"/>
          <w:szCs w:val="17"/>
          <w:color w:val="auto"/>
        </w:rPr>
        <w:t>Our common stock began trading under the symbol "SION" on the Nasdaq Global Market on February 7, 2025. Prior to this time, there was no public trading market for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our Common Stock</w:t>
      </w:r>
    </w:p>
    <w:p>
      <w:pPr>
        <w:spacing w:after="0" w:line="224" w:lineRule="exact"/>
        <w:rPr>
          <w:sz w:val="20"/>
          <w:szCs w:val="20"/>
          <w:color w:val="auto"/>
        </w:rPr>
      </w:pPr>
    </w:p>
    <w:p>
      <w:pPr>
        <w:ind w:right="60" w:firstLine="627"/>
        <w:spacing w:after="0" w:line="270" w:lineRule="auto"/>
        <w:rPr>
          <w:sz w:val="20"/>
          <w:szCs w:val="20"/>
          <w:color w:val="auto"/>
        </w:rPr>
      </w:pPr>
      <w:r>
        <w:rPr>
          <w:rFonts w:ascii="Arial" w:cs="Arial" w:eastAsia="Arial" w:hAnsi="Arial"/>
          <w:sz w:val="17"/>
          <w:szCs w:val="17"/>
          <w:color w:val="auto"/>
        </w:rPr>
        <w:t>As of February 1, 2026, there were approximately 10 holders of record of shares of our common stock. This number does not include stockholders for whom shares are held in "nominee" or "street" name. The actual number of holders of our common stock is greater than this number of record holders, and includes stockholders who are beneficial owners, but whose shares are held in street name by brokers or held by other nominees.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24" w:lineRule="exact"/>
        <w:rPr>
          <w:sz w:val="20"/>
          <w:szCs w:val="20"/>
          <w:color w:val="auto"/>
        </w:rPr>
      </w:pPr>
    </w:p>
    <w:p>
      <w:pPr>
        <w:ind w:right="60" w:firstLine="627"/>
        <w:spacing w:after="0" w:line="298" w:lineRule="auto"/>
        <w:rPr>
          <w:sz w:val="20"/>
          <w:szCs w:val="20"/>
          <w:color w:val="auto"/>
        </w:rPr>
      </w:pPr>
      <w:r>
        <w:rPr>
          <w:rFonts w:ascii="Arial" w:cs="Arial" w:eastAsia="Arial" w:hAnsi="Arial"/>
          <w:sz w:val="17"/>
          <w:szCs w:val="17"/>
          <w:color w:val="auto"/>
        </w:rPr>
        <w:t>Information about securities authorized for issuance under our equity compensation plans is incorporated herein by reference to Part III, Item 12 of this Annual Report.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our IPO</w:t>
      </w:r>
    </w:p>
    <w:p>
      <w:pPr>
        <w:spacing w:after="0" w:line="224" w:lineRule="exact"/>
        <w:rPr>
          <w:sz w:val="20"/>
          <w:szCs w:val="20"/>
          <w:color w:val="auto"/>
        </w:rPr>
      </w:pPr>
    </w:p>
    <w:p>
      <w:pPr>
        <w:ind w:right="40" w:firstLine="627"/>
        <w:spacing w:after="0" w:line="263" w:lineRule="auto"/>
        <w:rPr>
          <w:sz w:val="20"/>
          <w:szCs w:val="20"/>
          <w:color w:val="auto"/>
        </w:rPr>
      </w:pPr>
      <w:r>
        <w:rPr>
          <w:rFonts w:ascii="Arial" w:cs="Arial" w:eastAsia="Arial" w:hAnsi="Arial"/>
          <w:sz w:val="17"/>
          <w:szCs w:val="17"/>
          <w:color w:val="auto"/>
        </w:rPr>
        <w:t>On February 6, 2025, the SEC declared effective our registration statement on Form S-1 (File No. 333-284352), as amended (the "Registration Statement"), filed in connection with our initial public offering (the "IPO"). Pursuant to the Registration Statement, we registered the offer and sale of 12,176,467 shares of our common stock with a proposed maximum aggregate offering price of approximately $219.2 million. Goldman Sachs &amp; Co. LLC, TD Securities (USA) LLC, Stifel, Nicolaus &amp; Company, Incorporated, and Guggenheim Securities, LLC acted as representatives of the underwriters for the offering. On February 10, 2025, we raised aggregate net proceeds of $ 199.6 million from the sale of 12,176,467 shares of common stock at a price of $18.00 per share, which included 1,588,234 shares of common stock sold pursuant to the underwriters’ full exercise of their option to purchase additional shares, before deducting offering costs payable by us of $4.2 million.</w:t>
      </w:r>
    </w:p>
    <w:p>
      <w:pPr>
        <w:spacing w:after="0" w:line="171" w:lineRule="exact"/>
        <w:rPr>
          <w:sz w:val="20"/>
          <w:szCs w:val="20"/>
          <w:color w:val="auto"/>
        </w:rPr>
      </w:pPr>
    </w:p>
    <w:p>
      <w:pPr>
        <w:ind w:right="120" w:firstLine="627"/>
        <w:spacing w:after="0" w:line="277" w:lineRule="auto"/>
        <w:rPr>
          <w:sz w:val="20"/>
          <w:szCs w:val="20"/>
          <w:color w:val="auto"/>
        </w:rPr>
      </w:pPr>
      <w:r>
        <w:rPr>
          <w:rFonts w:ascii="Arial" w:cs="Arial" w:eastAsia="Arial" w:hAnsi="Arial"/>
          <w:sz w:val="17"/>
          <w:szCs w:val="17"/>
          <w:color w:val="auto"/>
        </w:rPr>
        <w:t>The offering terminated after the sale of all securities registered pursuant to the Registration Statement. There has been no material change in the expected use of the net proceeds from our IPO as described in our final prospectus filed with the SEC pursuant to Rule 424(b) of the Securities Act on February 7, 2025.</w:t>
      </w:r>
    </w:p>
    <w:p>
      <w:pPr>
        <w:spacing w:after="0" w:line="159" w:lineRule="exact"/>
        <w:rPr>
          <w:sz w:val="20"/>
          <w:szCs w:val="20"/>
          <w:color w:val="auto"/>
        </w:rPr>
      </w:pPr>
    </w:p>
    <w:p>
      <w:pPr>
        <w:jc w:val="both"/>
        <w:ind w:right="280" w:firstLine="627"/>
        <w:spacing w:after="0" w:line="277" w:lineRule="auto"/>
        <w:rPr>
          <w:sz w:val="20"/>
          <w:szCs w:val="20"/>
          <w:color w:val="auto"/>
        </w:rPr>
      </w:pPr>
      <w:r>
        <w:rPr>
          <w:rFonts w:ascii="Arial" w:cs="Arial" w:eastAsia="Arial" w:hAnsi="Arial"/>
          <w:sz w:val="17"/>
          <w:szCs w:val="17"/>
          <w:color w:val="auto"/>
        </w:rPr>
        <w:t>We continue to hold a significant portion of the balance of the net proceeds in cash equivalents and marketable securities. There has been no material change in the planned proceeds from our IPO, as described in our final prospectus filed with the SEC on February 7, 2025 pursuant to Rule 424(b) under the Securities Act.</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4" w:lineRule="exact"/>
        <w:rPr>
          <w:sz w:val="20"/>
          <w:szCs w:val="20"/>
          <w:color w:val="auto"/>
        </w:rPr>
      </w:pPr>
    </w:p>
    <w:p>
      <w:pPr>
        <w:ind w:right="20" w:firstLine="627"/>
        <w:spacing w:after="0" w:line="270"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224" w:lineRule="exact"/>
        <w:rPr>
          <w:sz w:val="20"/>
          <w:szCs w:val="20"/>
          <w:color w:val="auto"/>
        </w:rPr>
      </w:pPr>
    </w:p>
    <w:p>
      <w:pPr>
        <w:jc w:val="center"/>
        <w:ind w:right="9500"/>
        <w:spacing w:after="0"/>
        <w:rPr>
          <w:sz w:val="20"/>
          <w:szCs w:val="20"/>
          <w:color w:val="auto"/>
        </w:rPr>
      </w:pPr>
      <w:r>
        <w:rPr>
          <w:rFonts w:ascii="Arial" w:cs="Arial" w:eastAsia="Arial" w:hAnsi="Arial"/>
          <w:sz w:val="17"/>
          <w:szCs w:val="17"/>
          <w:color w:val="auto"/>
        </w:rPr>
        <w:t>None.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20" w:lineRule="exact"/>
        <w:rPr>
          <w:sz w:val="20"/>
          <w:szCs w:val="20"/>
          <w:color w:val="auto"/>
        </w:rPr>
      </w:pPr>
    </w:p>
    <w:p>
      <w:pPr>
        <w:ind w:right="60" w:firstLine="627"/>
        <w:spacing w:after="0" w:line="26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and other financial information included elsewhere in this Annual Report. This discussion and analysis and other parts of this Annual Report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“Risk Factors” and elsewhere in this Annual Report. You should carefully read the “Risk Factors” section of this Annual Report to gain an understanding of the important factors that could cause actual results to differ materially from our forward-looking statements. Also see the section titled “Cautionary Note Regarding Forward-Looking Statements.” Our historical results are not necessarily indicative of the results that may be expected for any period in the future. For convenience of presentation, some of the numbers have been rounded in the text below.</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right="80" w:firstLine="627"/>
        <w:spacing w:after="0" w:line="264" w:lineRule="auto"/>
        <w:rPr>
          <w:sz w:val="20"/>
          <w:szCs w:val="20"/>
          <w:color w:val="auto"/>
        </w:rPr>
      </w:pPr>
      <w:r>
        <w:rPr>
          <w:rFonts w:ascii="Arial" w:cs="Arial" w:eastAsia="Arial" w:hAnsi="Arial"/>
          <w:sz w:val="17"/>
          <w:szCs w:val="17"/>
          <w:color w:val="auto"/>
        </w:rPr>
        <w:t>We are a clinical-stage biopharmaceutical company on a mission to revolutionize the current treatment paradigm for cystic fibrosis (“CF”) by developing novel medicines that normalize the function of the cystic fibrosis transmembrane conductance regulator (“CFTR”) protein to deliver clinically meaningful benefit to people with CF. Our goal is to deliver differentiated medicines for people with CF that can restore their CFTR function to as close to normal as possible by directly stabilizing CFTR’s nucleotide binding domain 1 (“NBD1”). We believe stabilizing NBD1 is central to unlocking dramatic improvements in clinical outcomes and quality of life for people with CF. We are also advancing a portfolio of complementary CFTR modulator candidates designed to work synergistically with our NBD1 stabilizers to improve CFTR function, as seen in preclinical models.</w:t>
      </w:r>
    </w:p>
    <w:p>
      <w:pPr>
        <w:spacing w:after="0" w:line="381"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We believe our robust pipeline provides multiple potential pathways to achieve our mission, either through development of an NBD1 stabilizer and a complementary modulator in combination with each other to produce a proprietary dual combination, or an NBD1 stabilizer administered in combination with the standard of care for CF. While we have prioritized development of a proprietary dual combination, we believe both development pathways offer attractive commercial opportunities.</w:t>
      </w:r>
    </w:p>
    <w:p>
      <w:pPr>
        <w:spacing w:after="0" w:line="165" w:lineRule="exact"/>
        <w:rPr>
          <w:sz w:val="20"/>
          <w:szCs w:val="20"/>
          <w:color w:val="auto"/>
        </w:rPr>
      </w:pPr>
    </w:p>
    <w:p>
      <w:pPr>
        <w:ind w:right="360" w:firstLine="627"/>
        <w:spacing w:after="0" w:line="270" w:lineRule="auto"/>
        <w:rPr>
          <w:sz w:val="20"/>
          <w:szCs w:val="20"/>
          <w:color w:val="auto"/>
        </w:rPr>
      </w:pPr>
      <w:r>
        <w:rPr>
          <w:rFonts w:ascii="Arial" w:cs="Arial" w:eastAsia="Arial" w:hAnsi="Arial"/>
          <w:sz w:val="17"/>
          <w:szCs w:val="17"/>
          <w:color w:val="auto"/>
        </w:rPr>
        <w:t>In June 2025, we announced positive topline data from our two randomized, double-blinded, placebo-controlled Phase 1 clinical trials evaluating SION-719 and SION-451, our lead NBD1 stabilizer product candidates, in healthy volunteers, and our plans to advance both compounds to the next phase of clinical development. The trials assessed the safety, tolerability, and pharmacokinetics ("PK") of single and multiple ascending doses of each product candidate, as well as food effect and tablet bioequivalence.</w:t>
      </w:r>
    </w:p>
    <w:p>
      <w:pPr>
        <w:spacing w:after="0" w:line="165" w:lineRule="exact"/>
        <w:rPr>
          <w:sz w:val="20"/>
          <w:szCs w:val="20"/>
          <w:color w:val="auto"/>
        </w:rPr>
      </w:pPr>
    </w:p>
    <w:p>
      <w:pPr>
        <w:jc w:val="both"/>
        <w:ind w:right="160" w:firstLine="627"/>
        <w:spacing w:after="0" w:line="262" w:lineRule="auto"/>
        <w:rPr>
          <w:sz w:val="20"/>
          <w:szCs w:val="20"/>
          <w:color w:val="auto"/>
        </w:rPr>
      </w:pPr>
      <w:r>
        <w:rPr>
          <w:rFonts w:ascii="Arial" w:cs="Arial" w:eastAsia="Arial" w:hAnsi="Arial"/>
          <w:sz w:val="17"/>
          <w:szCs w:val="17"/>
          <w:color w:val="auto"/>
        </w:rPr>
        <w:t>Both SION-719 and SION-451 were generally well tolerated in these trials, with no serious adverse events, treatment emergent adverse events that led to discontinuation of drug, or dose-limiting toxicities observed. The Phase 1 data also supported the use of a tablet formulation in future trials and indicated that both compounds could be dosed in a fed or fasted state. Both NBD1 stabilizers met target exposure thresholds.</w:t>
      </w:r>
    </w:p>
    <w:p>
      <w:pPr>
        <w:spacing w:after="0" w:line="2"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Based on the Phase 1 data and our preclinical CF human bronchial epithelial ("CFHBE") model, we believe our NBD1 stabilizers have the potential to provide clinically meaningful benefit to people with CF when SION-719 is administered as an add-on to the standard of care or when SION-451 is used in proprietary dual combinations with one of our complementary modulators.</w:t>
      </w:r>
    </w:p>
    <w:p>
      <w:pPr>
        <w:spacing w:after="0" w:line="167" w:lineRule="exact"/>
        <w:rPr>
          <w:sz w:val="20"/>
          <w:szCs w:val="20"/>
          <w:color w:val="auto"/>
        </w:rPr>
      </w:pPr>
    </w:p>
    <w:p>
      <w:pPr>
        <w:ind w:right="40" w:firstLine="627"/>
        <w:spacing w:after="0" w:line="298" w:lineRule="auto"/>
        <w:rPr>
          <w:sz w:val="20"/>
          <w:szCs w:val="20"/>
          <w:color w:val="auto"/>
        </w:rPr>
      </w:pPr>
      <w:r>
        <w:rPr>
          <w:rFonts w:ascii="Arial" w:cs="Arial" w:eastAsia="Arial" w:hAnsi="Arial"/>
          <w:sz w:val="17"/>
          <w:szCs w:val="17"/>
          <w:color w:val="auto"/>
        </w:rPr>
        <w:t>In October 2025, we announced the initiation of a Phase 2a proof-of-concept trial in CF patients evaluating SION-719 as an add-on to the standard of care. The Phase 2a trial, called PreciSION CF, is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designed to evaluate the safety, tolerability, and PK of SION-719 when administered with the standard of care for CF, Vertex Pharmaceuticals, Inc.'s Trikafta, and to assess change in CFTR function as measured by sweat chloride levels. Additionally, in August 2025, we announced the initiation of a Phase 1 dual combination trial in healthy volunteers evaluating SION-451 in dual combinations with each of SION-2222 and SION-109, two of our complementary CFTR modulators. The trial will evaluate the safety, tolerability, and PK of varying doses of the dual combinations and will inform selection of a dual combination for further development. Topline data from both trials are anticipated in mid-2026.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 and Financial Condition</w:t>
      </w:r>
    </w:p>
    <w:p>
      <w:pPr>
        <w:spacing w:after="0" w:line="222"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Since our inception, we have funded our operations primarily with proceeds from private placements of convertible preferred stock and through net proceeds from our IPO. During 2025, we completed our IPO and raised aggregate net proceeds of $199.6 million from the sale of 12,176,467 shares of common stock, which included 1,588,234 shares of common stock sold pursuant to the underwriters' full exercise of their option to purchase additional shares. As of December 31, 2025, we have raised aggregate net proceeds of $530.0 million. We have not generated any revenue from product sales or other sources.</w:t>
      </w:r>
    </w:p>
    <w:p>
      <w:pPr>
        <w:spacing w:after="0" w:line="170" w:lineRule="exact"/>
        <w:rPr>
          <w:sz w:val="20"/>
          <w:szCs w:val="20"/>
          <w:color w:val="auto"/>
        </w:rPr>
      </w:pPr>
    </w:p>
    <w:p>
      <w:pPr>
        <w:ind w:right="380" w:firstLine="627"/>
        <w:spacing w:after="0" w:line="277" w:lineRule="auto"/>
        <w:rPr>
          <w:sz w:val="20"/>
          <w:szCs w:val="20"/>
          <w:color w:val="auto"/>
        </w:rPr>
      </w:pPr>
      <w:r>
        <w:rPr>
          <w:rFonts w:ascii="Arial" w:cs="Arial" w:eastAsia="Arial" w:hAnsi="Arial"/>
          <w:sz w:val="17"/>
          <w:szCs w:val="17"/>
          <w:color w:val="auto"/>
        </w:rPr>
        <w:t>Due to our significant research, development and manufacturing expenditures, we have accumulated substantial losses and negative cash flows since our inception, including net losses of $75.3 million and $ 61.7 million for the years ended December 31, 2025 and 2024, respectively. As of December 31, 2025, we had an accumulated deficit of $256.4 million.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expect our expenses and operating losses will increase substantially as we:</w:t>
      </w:r>
    </w:p>
    <w:p>
      <w:pPr>
        <w:spacing w:after="0" w:line="118" w:lineRule="exact"/>
        <w:rPr>
          <w:sz w:val="20"/>
          <w:szCs w:val="20"/>
          <w:color w:val="auto"/>
        </w:rPr>
      </w:pPr>
    </w:p>
    <w:p>
      <w:pPr>
        <w:ind w:left="620" w:hanging="146"/>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continue to advance the clinical development of our current and future product candidates;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continue to advance our research activities and seek to discover and develop additional product candidates to expand our pipeline;</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pursue regulatory approvals for any current or future product candidates that successfully complete clinical trials;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continue to utilize third parties to manufacture our product candidates;</w:t>
      </w:r>
    </w:p>
    <w:p>
      <w:pPr>
        <w:spacing w:after="0" w:line="117" w:lineRule="exact"/>
        <w:rPr>
          <w:rFonts w:ascii="Arial" w:cs="Arial" w:eastAsia="Arial" w:hAnsi="Arial"/>
          <w:sz w:val="17"/>
          <w:szCs w:val="17"/>
          <w:color w:val="auto"/>
        </w:rPr>
      </w:pPr>
    </w:p>
    <w:p>
      <w:pPr>
        <w:ind w:left="640" w:right="580" w:hanging="166"/>
        <w:spacing w:after="0" w:line="298" w:lineRule="auto"/>
        <w:tabs>
          <w:tab w:leader="none" w:pos="6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continue to develop, maintain, expand, enforce, defend and protect our intellectual property portfolio (including intellectual property obtained through license agreements) and provide reimbursement of third-party expenses related to our patent portfolio;</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attract, hire and retain additional qualified personnel;</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w:t>
      </w:r>
    </w:p>
    <w:p>
      <w:pPr>
        <w:spacing w:after="0" w:line="117" w:lineRule="exact"/>
        <w:rPr>
          <w:rFonts w:ascii="Arial" w:cs="Arial" w:eastAsia="Arial" w:hAnsi="Arial"/>
          <w:sz w:val="17"/>
          <w:szCs w:val="17"/>
          <w:color w:val="auto"/>
        </w:rPr>
      </w:pPr>
    </w:p>
    <w:p>
      <w:pPr>
        <w:ind w:left="640" w:right="140" w:hanging="166"/>
        <w:spacing w:after="0" w:line="298" w:lineRule="auto"/>
        <w:tabs>
          <w:tab w:leader="none" w:pos="6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undertake pre-commercial activities, and scale-up external commercial-scale manufacturing capabilities, to commercialize any current or future product candidates which may obtain regulatory approval;</w:t>
      </w:r>
    </w:p>
    <w:p>
      <w:pPr>
        <w:spacing w:after="0" w:line="36" w:lineRule="exact"/>
        <w:rPr>
          <w:rFonts w:ascii="Arial" w:cs="Arial" w:eastAsia="Arial" w:hAnsi="Arial"/>
          <w:sz w:val="17"/>
          <w:szCs w:val="17"/>
          <w:color w:val="auto"/>
        </w:rPr>
      </w:pPr>
    </w:p>
    <w:p>
      <w:pPr>
        <w:ind w:left="640" w:right="40" w:hanging="166"/>
        <w:spacing w:after="0" w:line="298" w:lineRule="auto"/>
        <w:tabs>
          <w:tab w:leader="none" w:pos="6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ultimately establish a sales, marketing and distribution infrastructure to commercialize any current or future product candidates which may receive regulatory approval; and</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incur additional audit, legal, regulatory, tax and other expenses associated with being a public company.</w:t>
      </w:r>
    </w:p>
    <w:p>
      <w:pPr>
        <w:spacing w:after="0" w:line="222" w:lineRule="exact"/>
        <w:rPr>
          <w:sz w:val="20"/>
          <w:szCs w:val="20"/>
          <w:color w:val="auto"/>
        </w:rPr>
      </w:pPr>
    </w:p>
    <w:p>
      <w:pPr>
        <w:jc w:val="both"/>
        <w:ind w:right="260" w:firstLine="627"/>
        <w:spacing w:after="0" w:line="277" w:lineRule="auto"/>
        <w:rPr>
          <w:sz w:val="20"/>
          <w:szCs w:val="20"/>
          <w:color w:val="auto"/>
        </w:rPr>
      </w:pPr>
      <w:r>
        <w:rPr>
          <w:rFonts w:ascii="Arial" w:cs="Arial" w:eastAsia="Arial" w:hAnsi="Arial"/>
          <w:sz w:val="17"/>
          <w:szCs w:val="17"/>
          <w:color w:val="auto"/>
        </w:rPr>
        <w:t>In addition, we have several clinical development, regulatory, and commercial milestones, as well as royalty payment obligations under our licensing arrangements. Our net losses may fluctuate significantly from quarter to quarter and year to year, depending on the timing of our ongoing and planned clinical trials and our expenditures on other research and development activities.</w:t>
      </w:r>
    </w:p>
    <w:p>
      <w:pPr>
        <w:spacing w:after="0" w:line="159"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We do not have any products approved for sale and have not generated any revenue from product sales. We will not generate revenue from product sales unless and until we successfully complete clinical development and obtain regulatory approval for our current or any future product candidates, which we expect will take a number of years or may never occur. 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or other capital sources, potentially including collaborations, licenses or other strategic</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arrangements. See the section titled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70" w:lineRule="exact"/>
        <w:rPr>
          <w:sz w:val="20"/>
          <w:szCs w:val="20"/>
          <w:color w:val="auto"/>
        </w:rPr>
      </w:pPr>
    </w:p>
    <w:p>
      <w:pPr>
        <w:ind w:right="60" w:firstLine="627"/>
        <w:spacing w:after="0" w:line="270" w:lineRule="auto"/>
        <w:rPr>
          <w:sz w:val="20"/>
          <w:szCs w:val="20"/>
          <w:color w:val="auto"/>
        </w:rPr>
      </w:pPr>
      <w:r>
        <w:rPr>
          <w:rFonts w:ascii="Arial" w:cs="Arial" w:eastAsia="Arial" w:hAnsi="Arial"/>
          <w:sz w:val="17"/>
          <w:szCs w:val="17"/>
          <w:color w:val="auto"/>
        </w:rPr>
        <w:t>Due to the numerous risks and uncertainties associated with drug development, we are unable to accurately predict the timing or amount of increased expenses or the timing of when, or if, we will be able to achieve or maintain profitability. Even if we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65" w:lineRule="exact"/>
        <w:rPr>
          <w:sz w:val="20"/>
          <w:szCs w:val="20"/>
          <w:color w:val="auto"/>
        </w:rPr>
      </w:pPr>
    </w:p>
    <w:p>
      <w:pPr>
        <w:ind w:right="60" w:firstLine="627"/>
        <w:spacing w:after="0" w:line="264" w:lineRule="auto"/>
        <w:rPr>
          <w:sz w:val="20"/>
          <w:szCs w:val="20"/>
          <w:color w:val="auto"/>
        </w:rPr>
      </w:pPr>
      <w:r>
        <w:rPr>
          <w:rFonts w:ascii="Arial" w:cs="Arial" w:eastAsia="Arial" w:hAnsi="Arial"/>
          <w:sz w:val="17"/>
          <w:szCs w:val="17"/>
          <w:color w:val="auto"/>
        </w:rPr>
        <w:t>As of December 31, 2025, we had cash, cash equivalents and marketable securities of $310.3 million. Based upon our current operating plans, we believe that our existing cash, cash equivalents and marketable securities, will be sufficient to fund our operations into 2028. We have based this estimate on assumptions that may prove to be wrong, and we could exhaust our available capital resources sooner than we expect. In addition, we could utilize our available capital resources sooner than we expect. See the sections titled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and “</w:t>
      </w:r>
      <w:r>
        <w:rPr>
          <w:rFonts w:ascii="Arial" w:cs="Arial" w:eastAsia="Arial" w:hAnsi="Arial"/>
          <w:sz w:val="17"/>
          <w:szCs w:val="17"/>
          <w:i w:val="1"/>
          <w:iCs w:val="1"/>
          <w:color w:val="auto"/>
        </w:rPr>
        <w:t>Risk Factors—Risks Related to Our Limited Operating History, Financial Condition and Need for Additional Capital</w:t>
      </w:r>
      <w:r>
        <w:rPr>
          <w:rFonts w:ascii="Arial" w:cs="Arial" w:eastAsia="Arial" w:hAnsi="Arial"/>
          <w:sz w:val="17"/>
          <w:szCs w:val="17"/>
          <w:color w:val="auto"/>
        </w:rPr>
        <w:t>” included elsewhere in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and Collaboration Agreements</w:t>
      </w:r>
    </w:p>
    <w:p>
      <w:pPr>
        <w:spacing w:after="0" w:line="120" w:lineRule="exact"/>
        <w:rPr>
          <w:sz w:val="20"/>
          <w:szCs w:val="20"/>
          <w:color w:val="auto"/>
        </w:rPr>
      </w:pPr>
    </w:p>
    <w:p>
      <w:pPr>
        <w:ind w:right="320" w:firstLine="627"/>
        <w:spacing w:after="0" w:line="298" w:lineRule="auto"/>
        <w:rPr>
          <w:sz w:val="20"/>
          <w:szCs w:val="20"/>
          <w:color w:val="auto"/>
        </w:rPr>
      </w:pPr>
      <w:r>
        <w:rPr>
          <w:rFonts w:ascii="Arial" w:cs="Arial" w:eastAsia="Arial" w:hAnsi="Arial"/>
          <w:sz w:val="17"/>
          <w:szCs w:val="17"/>
          <w:color w:val="auto"/>
        </w:rPr>
        <w:t>Below is a summary of the key terms for certain of our license and collaboration agreements. For a more detailed description of these agreements, see the section titled “</w:t>
      </w:r>
      <w:r>
        <w:rPr>
          <w:rFonts w:ascii="Arial" w:cs="Arial" w:eastAsia="Arial" w:hAnsi="Arial"/>
          <w:sz w:val="17"/>
          <w:szCs w:val="17"/>
          <w:i w:val="1"/>
          <w:iCs w:val="1"/>
          <w:color w:val="auto"/>
        </w:rPr>
        <w:t>Business—License and Collaboration Agreements</w:t>
      </w:r>
      <w:r>
        <w:rPr>
          <w:rFonts w:ascii="Arial" w:cs="Arial" w:eastAsia="Arial" w:hAnsi="Arial"/>
          <w:sz w:val="17"/>
          <w:szCs w:val="17"/>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Sanofi License Agreement</w:t>
      </w:r>
    </w:p>
    <w:p>
      <w:pPr>
        <w:spacing w:after="0" w:line="118"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In December 2019, we entered into a license agreement, which has been subsequently amended (as amended, the “Sanofi License Agreement”), with Sanofi, pursuant to which we have been granted an exclusive, worldwide, sublicensable, royalty-bearing license to develop and commercialize products using the licensed compounds and know-how for CFTR modulator therapies. The licensed and derived rights are being utilized in SION-719, SION-109 and SION-451.</w:t>
      </w:r>
    </w:p>
    <w:p>
      <w:pPr>
        <w:spacing w:after="0" w:line="165" w:lineRule="exact"/>
        <w:rPr>
          <w:sz w:val="20"/>
          <w:szCs w:val="20"/>
          <w:color w:val="auto"/>
        </w:rPr>
      </w:pPr>
    </w:p>
    <w:p>
      <w:pPr>
        <w:ind w:right="60" w:firstLine="627"/>
        <w:spacing w:after="0" w:line="264" w:lineRule="auto"/>
        <w:rPr>
          <w:sz w:val="20"/>
          <w:szCs w:val="20"/>
          <w:color w:val="auto"/>
        </w:rPr>
      </w:pPr>
      <w:r>
        <w:rPr>
          <w:rFonts w:ascii="Arial" w:cs="Arial" w:eastAsia="Arial" w:hAnsi="Arial"/>
          <w:sz w:val="17"/>
          <w:szCs w:val="17"/>
          <w:color w:val="auto"/>
        </w:rPr>
        <w:t>As initial consideration for the license, we paid a non-refundable, upfront payment of $1.5 million, as well as a reimbursement of $0.3 million for Sanofi’s research and development expenses, which was previously recorded as research and development expense because the acquired license represented in-process research and development with no alternative future use. In addition, we are required to pay Sanofi a total of up to $40.0 million upon achievement of certain late-stage developmental and commercial milestones. As of December 31, 2025, no milestones were achieved. We are also required to pay royalties to Sanofi in the low single-digit percentage range based on net sales of licensed products, subject to customary reductions and offsets. Such royalty payments shall be reduced for products covered by derived patents.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CFF Payment Agreement</w:t>
      </w:r>
    </w:p>
    <w:p>
      <w:pPr>
        <w:spacing w:after="0" w:line="118" w:lineRule="exact"/>
        <w:rPr>
          <w:sz w:val="20"/>
          <w:szCs w:val="20"/>
          <w:color w:val="auto"/>
        </w:rPr>
      </w:pPr>
    </w:p>
    <w:p>
      <w:pPr>
        <w:ind w:right="140" w:firstLine="627"/>
        <w:spacing w:after="0" w:line="266" w:lineRule="auto"/>
        <w:rPr>
          <w:sz w:val="20"/>
          <w:szCs w:val="20"/>
          <w:color w:val="auto"/>
        </w:rPr>
      </w:pPr>
      <w:r>
        <w:rPr>
          <w:rFonts w:ascii="Arial" w:cs="Arial" w:eastAsia="Arial" w:hAnsi="Arial"/>
          <w:sz w:val="17"/>
          <w:szCs w:val="17"/>
          <w:color w:val="auto"/>
        </w:rPr>
        <w:t>In December 2019, we entered into a payment agreement (the “CFF Payment Agreement”) with the Cystic Fibrosis Foundation (“CFF”), pursuant to which we agreed to provide CFF with compensation in exchange for the grant of, or forbearance from exercising, certain of CFF’s rights existing under the license agreement, by and between CFF (through an assignment by Cystic Fibrosis Foundation Therapeutics, Inc.) and Genzyme Corporation, an affiliate of Sanofi (the “CFFT-Genzyme Agreement”). Under the CFF Payment Agreement, we are obligated to compensate CFF in connection with our development and commercialization of licensed products under the Sanofi License Agreement.</w:t>
      </w:r>
    </w:p>
    <w:p>
      <w:pPr>
        <w:spacing w:after="0" w:line="170" w:lineRule="exact"/>
        <w:rPr>
          <w:sz w:val="20"/>
          <w:szCs w:val="20"/>
          <w:color w:val="auto"/>
        </w:rPr>
      </w:pPr>
    </w:p>
    <w:p>
      <w:pPr>
        <w:ind w:right="140" w:firstLine="627"/>
        <w:spacing w:after="0" w:line="270" w:lineRule="auto"/>
        <w:rPr>
          <w:sz w:val="20"/>
          <w:szCs w:val="20"/>
          <w:color w:val="auto"/>
        </w:rPr>
      </w:pPr>
      <w:r>
        <w:rPr>
          <w:rFonts w:ascii="Arial" w:cs="Arial" w:eastAsia="Arial" w:hAnsi="Arial"/>
          <w:sz w:val="17"/>
          <w:szCs w:val="17"/>
          <w:color w:val="auto"/>
        </w:rPr>
        <w:t>As initial consideration for CFF’s grant of, and forbearance from exercising, its rights under the CFFT-Genzyme Agreement, we paid an upfront fee of $0.2 million and issued CFF shares of our preferred stock, valued at $1.0 million, which were previously recorded as research and development expenses. In addition, we agreed to pay CFF a sub-teen double-digit percentage of any amounts paid by us to Sanofi under the Sanofi</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License Agreement, other than milestone, royalty or reimbursement payments. We are required to pay CFF a total of up to $40.0 million upon achievement of certain late-stage developmental and commercial milestones. As of December 31, 2025, no milestones were achieved. We are also required to pay revenue-shares of royalty payments to CFF in the low single-digit percentage range based on net sales of licensed products, subject to customary reductions and offsets. Such milestone and royalty payments shall be reduced for products covered by derived patents. Further, a side letter was executed between us and Sanofi, which clarifies the relationship between us, Sanofi and CFF, under which we are obligated to pay Sanofi 20% of the milestones it would have been obligated to pay CFF, net of the milestone amounts it is obligated to pay under the Sanofi License Agreement.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License Agreement</w:t>
      </w:r>
    </w:p>
    <w:p>
      <w:pPr>
        <w:spacing w:after="0" w:line="118" w:lineRule="exact"/>
        <w:rPr>
          <w:sz w:val="20"/>
          <w:szCs w:val="20"/>
          <w:color w:val="auto"/>
        </w:rPr>
      </w:pPr>
    </w:p>
    <w:p>
      <w:pPr>
        <w:ind w:right="140" w:firstLine="627"/>
        <w:spacing w:after="0" w:line="263" w:lineRule="auto"/>
        <w:rPr>
          <w:sz w:val="20"/>
          <w:szCs w:val="20"/>
          <w:color w:val="auto"/>
        </w:rPr>
      </w:pPr>
      <w:r>
        <w:rPr>
          <w:rFonts w:ascii="Arial" w:cs="Arial" w:eastAsia="Arial" w:hAnsi="Arial"/>
          <w:sz w:val="17"/>
          <w:szCs w:val="17"/>
          <w:color w:val="auto"/>
        </w:rPr>
        <w:t>In July 2024, we entered into a license agreement (the “AbbVie License Agreement”) with AbbVie, pursuant to which we have been granted a license to research, develop and commercialize certain CFTR compounds. The licensed rights are directed, among other things, to three clinical-stage CFTR modulator therapies: SION-2222, SION-2851 and SION-3067. The license granted to us under the AbbVie License Agreement is subject to certain preexisting rights held by AbbVie and Galapagos NV (“Galapagos”). In particular, certain of the licensed patents and other intellectual property rights were developed by or on behalf of Galapagos and are sublicensed to us subject to the terms of the second amended and restated collaboration agreement between Galapagos and AbbVie in October 2018 (the “Galapagos License Agreement”), as amended by a side letter between Galapagos and AbbVie in July 2024.</w:t>
      </w:r>
    </w:p>
    <w:p>
      <w:pPr>
        <w:spacing w:after="0" w:line="171"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As initial consideration for the license, we paid a non-refundable, upfront payment of $5.0 million and issued shares of our common stock with a fair value of $8.6 million to AbbVie. We determined that the AbbVie License Agreement represented an asset acquisition as it did not meet the definition of the business. We recorded the total initial consideration of $13.6 million as research and development expense during the year ended December 31, 2024, because the acquired license represented in-process research and development with no alternative future use. In addition, we are required to pay AbbVie a total of up to $360.0 million upon achievement of certain development and commercial milestones, consisting of up to $70.0 million in late-stage development milestones and up to $290.0 million in commercial milestones. We are also required to pay royalties to AbbVie in the low to mid single-digit percentage range based on net sales of licensed products, subject to customary reductions and offsets.</w:t>
      </w:r>
    </w:p>
    <w:p>
      <w:pPr>
        <w:spacing w:after="0" w:line="386" w:lineRule="exact"/>
        <w:rPr>
          <w:sz w:val="20"/>
          <w:szCs w:val="20"/>
          <w:color w:val="auto"/>
        </w:rPr>
      </w:pPr>
    </w:p>
    <w:p>
      <w:pPr>
        <w:jc w:val="both"/>
        <w:ind w:right="140" w:firstLine="627"/>
        <w:spacing w:after="0" w:line="270" w:lineRule="auto"/>
        <w:rPr>
          <w:sz w:val="20"/>
          <w:szCs w:val="20"/>
          <w:color w:val="auto"/>
        </w:rPr>
      </w:pPr>
      <w:r>
        <w:rPr>
          <w:rFonts w:ascii="Arial" w:cs="Arial" w:eastAsia="Arial" w:hAnsi="Arial"/>
          <w:sz w:val="17"/>
          <w:szCs w:val="17"/>
          <w:color w:val="auto"/>
        </w:rPr>
        <w:t>In addition, we are required to pay AbbVie up to $ 130.0 million in commercial and sales-based milestone payments, mid to high single-digit royalties on the licensed products or other payments due to Galapagos pursuant to the Galapagos License Agreement, to the extent such payments are triggered by our use of the licensed rights owned by Galapagos under the AbbVie License Agreement. There were no milestones achieved under the AbbVie License Agreement and Galapagos License Agreement as of December 31, 2025.</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8"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To date, we have not generated any revenue. In the future, we may generate revenue from product sales from any approved product, which approval we do not expect to occur for at least the next several years, if ever, as well as collaboration or license agreements we may enter into with respect to our current or future product candidates. We cannot predict if, when or to what extent we will generate revenue as we may never succeed in obtaining regulatory approval for any of our product candidates. If we fail to complete preclinical and clinical development of our current or future product candidates or fail to obtain regulatory approval for any that successfully complete clinical trials, our ability to generate future revenues, and our results of operations and financial position would be adversely affected.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operating expenses consist of (i) research and development expenses and (ii)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8" w:lineRule="exact"/>
        <w:rPr>
          <w:sz w:val="20"/>
          <w:szCs w:val="20"/>
          <w:color w:val="auto"/>
        </w:rPr>
      </w:pPr>
    </w:p>
    <w:p>
      <w:pPr>
        <w:ind w:firstLine="627"/>
        <w:spacing w:after="0" w:line="298" w:lineRule="auto"/>
        <w:rPr>
          <w:sz w:val="20"/>
          <w:szCs w:val="20"/>
          <w:color w:val="auto"/>
        </w:rPr>
      </w:pPr>
      <w:r>
        <w:rPr>
          <w:rFonts w:ascii="Arial" w:cs="Arial" w:eastAsia="Arial" w:hAnsi="Arial"/>
          <w:sz w:val="17"/>
          <w:szCs w:val="17"/>
          <w:color w:val="auto"/>
        </w:rPr>
        <w:t>Research and development expenses consist primarily of costs associated with the preclinical and clinical development of our current and potential future product candidates. In particular, our research and development expenses include:</w:t>
      </w:r>
    </w:p>
    <w:p>
      <w:pPr>
        <w:spacing w:after="0" w:line="37" w:lineRule="exact"/>
        <w:rPr>
          <w:sz w:val="20"/>
          <w:szCs w:val="20"/>
          <w:color w:val="auto"/>
        </w:rPr>
      </w:pPr>
    </w:p>
    <w:p>
      <w:pPr>
        <w:ind w:left="640" w:right="500" w:hanging="166"/>
        <w:spacing w:after="0" w:line="298" w:lineRule="auto"/>
        <w:tabs>
          <w:tab w:leader="none" w:pos="636"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personnel-related costs, including salaries, payroll tax, bonuses, benefits and stock-based compensation for employees engaged in research and development functions;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costs to acquire in-process research and development with no alternative future use acquired in an asset acquisition;</w:t>
      </w:r>
    </w:p>
    <w:p>
      <w:pPr>
        <w:spacing w:after="0" w:line="117" w:lineRule="exact"/>
        <w:rPr>
          <w:rFonts w:ascii="Arial" w:cs="Arial" w:eastAsia="Arial" w:hAnsi="Arial"/>
          <w:sz w:val="17"/>
          <w:szCs w:val="17"/>
          <w:color w:val="auto"/>
        </w:rPr>
      </w:pPr>
    </w:p>
    <w:p>
      <w:pPr>
        <w:ind w:left="640" w:right="20" w:hanging="166"/>
        <w:spacing w:after="0" w:line="298" w:lineRule="auto"/>
        <w:tabs>
          <w:tab w:leader="none" w:pos="636"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external expenses, including expenses incurred under arrangements with third parties, such as contract research organizations (“CROs”), contract development and manufacturing organizations (“CDMOs”), consultants and our scientific advisors;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 of manufacturing our product candidates, including costs for laboratory supplies, research materials and reagents;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facility costs, depreciation and other expenses, which include direct and allocated expenses;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 of obtaining and maintaining patent and trade secret protection for our product candidates.</w:t>
      </w:r>
    </w:p>
    <w:p>
      <w:pPr>
        <w:spacing w:after="0" w:line="222"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We recognize research and development costs in the periods in which they are incurred. Most of our research and development expenses have been related to identifying and developing our product candidates. Typically, external expenses are recognized based on an evaluation of the progress to completion of specific tasks using information obtained from (i) internal personnel regarding the services that have been performed on the Company's behalf and estimating the associated cost incurred for those services or (ii) information provided to us by our service providers as of each reporting date. Advance payments that we make for goods or services to be received in the future for use in research and development activities are recorded as prepaid expenses, which are expensed as the related goods are delivered or the services are performed, or when it is no longer expected that the goods will be delivered, or the services rendered. Significant judgments and estimates are made in determining the accrued or prepaid expense balances at the end of any reporting period.</w:t>
      </w:r>
    </w:p>
    <w:p>
      <w:pPr>
        <w:spacing w:after="0" w:line="173" w:lineRule="exact"/>
        <w:rPr>
          <w:sz w:val="20"/>
          <w:szCs w:val="20"/>
          <w:color w:val="auto"/>
        </w:rPr>
      </w:pPr>
    </w:p>
    <w:p>
      <w:pPr>
        <w:ind w:right="40" w:firstLine="627"/>
        <w:spacing w:after="0" w:line="266" w:lineRule="auto"/>
        <w:rPr>
          <w:sz w:val="20"/>
          <w:szCs w:val="20"/>
          <w:color w:val="auto"/>
        </w:rPr>
      </w:pPr>
      <w:r>
        <w:rPr>
          <w:rFonts w:ascii="Arial" w:cs="Arial" w:eastAsia="Arial" w:hAnsi="Arial"/>
          <w:sz w:val="17"/>
          <w:szCs w:val="17"/>
          <w:color w:val="auto"/>
        </w:rPr>
        <w:t>External costs represent a significant portion of our research and development expenses, which we track on a program-by-program basis following the nomination of a product candidate. Our internal research and development expenses consist primarily of personnel-related expenses, including stock-based compensation expenses and allocated expenses. We do not track our internal research and development expenses on a program-by-program basis as they either relate to early-stage research expenses, such as lab supplies or our personnel expenses, consulting fees or other costs that are deployed across multiple programs.</w:t>
      </w:r>
    </w:p>
    <w:p>
      <w:pPr>
        <w:spacing w:after="0" w:line="170" w:lineRule="exact"/>
        <w:rPr>
          <w:sz w:val="20"/>
          <w:szCs w:val="20"/>
          <w:color w:val="auto"/>
        </w:rPr>
      </w:pPr>
    </w:p>
    <w:p>
      <w:pPr>
        <w:ind w:right="200" w:firstLine="627"/>
        <w:spacing w:after="0" w:line="270" w:lineRule="auto"/>
        <w:rPr>
          <w:sz w:val="20"/>
          <w:szCs w:val="20"/>
          <w:color w:val="auto"/>
        </w:rPr>
      </w:pPr>
      <w:r>
        <w:rPr>
          <w:rFonts w:ascii="Arial" w:cs="Arial" w:eastAsia="Arial" w:hAnsi="Arial"/>
          <w:sz w:val="17"/>
          <w:szCs w:val="17"/>
          <w:color w:val="auto"/>
        </w:rPr>
        <w:t>Product candidates in later stages of development generally have higher development costs than those in earlier stages resulting from larger and more complex clinical trials, manufacturing scale-up and an increase in research and development headcount to oversee these activities. As a result, management expects that our research and development expenses will increase substantially over the next several years as we potentially advance our product candidates into later-stage development efforts.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future development costs may vary significantly based on a variety of factors, including:</w:t>
      </w:r>
    </w:p>
    <w:p>
      <w:pPr>
        <w:spacing w:after="0" w:line="118" w:lineRule="exact"/>
        <w:rPr>
          <w:sz w:val="20"/>
          <w:szCs w:val="20"/>
          <w:color w:val="auto"/>
        </w:rPr>
      </w:pPr>
    </w:p>
    <w:p>
      <w:pPr>
        <w:ind w:left="620" w:hanging="146"/>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timing, complexity and progress of preclinical and clinical development activities;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number and scope of preclinical and clinical programs we decide to pursue;</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extent to which we in-license or acquire other product candidates and technologies to further develop our pipeline;</w:t>
      </w:r>
    </w:p>
    <w:p>
      <w:pPr>
        <w:spacing w:after="0" w:line="117" w:lineRule="exact"/>
        <w:rPr>
          <w:rFonts w:ascii="Arial" w:cs="Arial" w:eastAsia="Arial" w:hAnsi="Arial"/>
          <w:sz w:val="17"/>
          <w:szCs w:val="17"/>
          <w:color w:val="auto"/>
        </w:rPr>
      </w:pPr>
    </w:p>
    <w:p>
      <w:pPr>
        <w:ind w:left="640" w:right="240" w:hanging="166"/>
        <w:spacing w:after="0" w:line="298" w:lineRule="auto"/>
        <w:tabs>
          <w:tab w:leader="none" w:pos="63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successful initiation and completion of clinical trials with safety, tolerability and efficacy profiles that are satisfactory to domestic and foreign regulatory authorities;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receipt of marketing approvals, if any, from applicable regulatory authorities;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development of commercial-scale manufacturing and distribution processes for our current and any future product candidates;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right="100" w:hanging="166"/>
        <w:spacing w:after="0" w:line="298" w:lineRule="auto"/>
        <w:tabs>
          <w:tab w:leader="none" w:pos="636"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obtain, maintain and protect patent, trade secret protection and regulatory exclusivity for our product candidates, both in the U.S. and internationally;</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successfully recruit and retain additional employees;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timing and amount of milestones, royalties or other payments we must make to our licensing partners; and</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commercialization of our product candidates, if and when approved.</w:t>
      </w:r>
    </w:p>
    <w:p>
      <w:pPr>
        <w:spacing w:after="0" w:line="222" w:lineRule="exact"/>
        <w:rPr>
          <w:sz w:val="20"/>
          <w:szCs w:val="20"/>
          <w:color w:val="auto"/>
        </w:rPr>
      </w:pPr>
    </w:p>
    <w:p>
      <w:pPr>
        <w:ind w:right="20" w:firstLine="627"/>
        <w:spacing w:after="0" w:line="261" w:lineRule="auto"/>
        <w:rPr>
          <w:sz w:val="20"/>
          <w:szCs w:val="20"/>
          <w:color w:val="auto"/>
        </w:rPr>
      </w:pPr>
      <w:r>
        <w:rPr>
          <w:rFonts w:ascii="Arial" w:cs="Arial" w:eastAsia="Arial" w:hAnsi="Arial"/>
          <w:sz w:val="17"/>
          <w:szCs w:val="17"/>
          <w:color w:val="auto"/>
        </w:rPr>
        <w:t>A change in the outcome of any of these variables with respect to the development of any current or future product candidate could mean a significant change in the costs and timing associated with the development of that product candidate. For example, if the U.S. Food and Drug Administration ("FDA") or another regulatory authority were to delay a planned start of a clinical trial or require us to conduct clinical trials beyond those that we currently anticipate would be required for the completion of clinical development of a product candidate, or if we experience significant delays in our clinical trials due to slower than expected patient enrollment or other reasons, we could be required to expend significant additional financial resources and time on the completion of clinical development of that product candidate. We do not have control over many of these factors, including certain aspects of clinical development, the regulatory submissions process, potential threats to our intellectual property rights and general political and economic conditions that may negatively impact our business in the future. We may never obtain regulatory approval for any of our product candidates, and, even if we do, drug commercialization takes several years and millions of dollars in development costs.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8" w:lineRule="exact"/>
        <w:rPr>
          <w:sz w:val="20"/>
          <w:szCs w:val="20"/>
          <w:color w:val="auto"/>
        </w:rPr>
      </w:pPr>
    </w:p>
    <w:p>
      <w:pPr>
        <w:ind w:right="240" w:firstLine="627"/>
        <w:spacing w:after="0" w:line="264"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payroll tax, bonuses, benefits and stock-based compensation charges for those individuals in executive, legal, finance, human resources, business development, information technology and other administrative functions. Other significant costs include legal fees relating to intellectual property and corporate matters, professional fees for auditing, accounting, tax and consulting services. Lastly, corporate overhead expenses such as information technology, insurance, facilities, and depreciation that are not allocated to the Company’s research and development activities are included in general and administrative expenses. We recognize general and administrative expenses in the periods in which they are incurred.</w:t>
      </w:r>
    </w:p>
    <w:p>
      <w:pPr>
        <w:spacing w:after="0" w:line="172"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We anticipate that our general and administrative expenses will increase in the future to support our increased research and development activities, pre-commercial preparation activities for our product candidates and any future product candidates and, if any product candidate receives marketing approval, commercialization activities. These increases will likely include increased costs related to the hiring of additional personnel and fees paid to outside consultants, among other expenses. We also anticipate increased expenses related to audit, accounting, legal and regulatory services associated with public company reporting and compliance, director and officer insurance premiums, investor and public relations costs and other administrative and professional services associated with operating as a public company.</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118" w:lineRule="exact"/>
        <w:rPr>
          <w:sz w:val="20"/>
          <w:szCs w:val="20"/>
          <w:color w:val="auto"/>
        </w:rPr>
      </w:pPr>
    </w:p>
    <w:p>
      <w:pPr>
        <w:ind w:right="80" w:firstLine="627"/>
        <w:spacing w:after="0" w:line="277" w:lineRule="auto"/>
        <w:rPr>
          <w:sz w:val="20"/>
          <w:szCs w:val="20"/>
          <w:color w:val="auto"/>
        </w:rPr>
      </w:pPr>
      <w:r>
        <w:rPr>
          <w:rFonts w:ascii="Arial" w:cs="Arial" w:eastAsia="Arial" w:hAnsi="Arial"/>
          <w:sz w:val="17"/>
          <w:szCs w:val="17"/>
          <w:color w:val="auto"/>
        </w:rPr>
        <w:t>Interest income consists primarily of interest earned and the amortization of discount or premiums on our cash equivalents and marketable securities. Interest income increased in 2025 primarily due to the investment of proceeds from our IPO. We expect interest income to decrease in future periods as our investment balances are reduced through operating activities.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18" w:lineRule="exact"/>
        <w:rPr>
          <w:sz w:val="20"/>
          <w:szCs w:val="20"/>
          <w:color w:val="auto"/>
        </w:rPr>
      </w:pPr>
    </w:p>
    <w:p>
      <w:pPr>
        <w:ind w:right="260" w:firstLine="627"/>
        <w:spacing w:after="0" w:line="298" w:lineRule="auto"/>
        <w:rPr>
          <w:sz w:val="20"/>
          <w:szCs w:val="20"/>
          <w:color w:val="auto"/>
        </w:rPr>
      </w:pPr>
      <w:r>
        <w:rPr>
          <w:rFonts w:ascii="Arial" w:cs="Arial" w:eastAsia="Arial" w:hAnsi="Arial"/>
          <w:sz w:val="17"/>
          <w:szCs w:val="17"/>
          <w:color w:val="auto"/>
        </w:rPr>
        <w:t>Other income consists of sublease income through our subleasing agreement which is further discussed within Note 7, “</w:t>
      </w:r>
      <w:r>
        <w:rPr>
          <w:rFonts w:ascii="Arial" w:cs="Arial" w:eastAsia="Arial" w:hAnsi="Arial"/>
          <w:sz w:val="17"/>
          <w:szCs w:val="17"/>
          <w:i w:val="1"/>
          <w:iCs w:val="1"/>
          <w:color w:val="auto"/>
        </w:rPr>
        <w:t>Leases</w:t>
      </w:r>
      <w:r>
        <w:rPr>
          <w:rFonts w:ascii="Arial" w:cs="Arial" w:eastAsia="Arial" w:hAnsi="Arial"/>
          <w:sz w:val="17"/>
          <w:szCs w:val="17"/>
          <w:color w:val="auto"/>
        </w:rPr>
        <w:t>” in our consolidated financial statements included elsewhere in this Annual Report.</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18" w:lineRule="exact"/>
        <w:rPr>
          <w:sz w:val="20"/>
          <w:szCs w:val="20"/>
          <w:color w:val="auto"/>
        </w:rPr>
      </w:pPr>
    </w:p>
    <w:p>
      <w:pPr>
        <w:ind w:right="220" w:firstLine="627"/>
        <w:spacing w:after="0" w:line="298" w:lineRule="auto"/>
        <w:rPr>
          <w:sz w:val="20"/>
          <w:szCs w:val="20"/>
          <w:color w:val="auto"/>
        </w:rPr>
      </w:pPr>
      <w:r>
        <w:rPr>
          <w:rFonts w:ascii="Arial" w:cs="Arial" w:eastAsia="Arial" w:hAnsi="Arial"/>
          <w:sz w:val="17"/>
          <w:szCs w:val="17"/>
          <w:color w:val="auto"/>
        </w:rPr>
        <w:t>Since our inception, we have not recorded any income tax benefits for the net losses we have incurred in each period or for our earned research and development tax credits, as we believe, based upon the weight of</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available evidence, that it is more likely than not that all of our net operating loss carryforwards and tax credits will not be realized.</w:t>
      </w:r>
    </w:p>
    <w:p>
      <w:pPr>
        <w:spacing w:after="0" w:line="222" w:lineRule="exact"/>
        <w:rPr>
          <w:sz w:val="20"/>
          <w:szCs w:val="20"/>
          <w:color w:val="auto"/>
        </w:rPr>
      </w:pPr>
    </w:p>
    <w:p>
      <w:pPr>
        <w:jc w:val="both"/>
        <w:ind w:right="380" w:firstLine="627"/>
        <w:spacing w:after="0" w:line="270" w:lineRule="auto"/>
        <w:rPr>
          <w:sz w:val="20"/>
          <w:szCs w:val="20"/>
          <w:color w:val="auto"/>
        </w:rPr>
      </w:pPr>
      <w:r>
        <w:rPr>
          <w:rFonts w:ascii="Arial" w:cs="Arial" w:eastAsia="Arial" w:hAnsi="Arial"/>
          <w:sz w:val="17"/>
          <w:szCs w:val="17"/>
          <w:color w:val="auto"/>
        </w:rPr>
        <w:t>As of December 31, 2025 and 2024, we had $148.0 million and $ 65.6 million of federal net operating loss ("NOL") carryforwards, and $155.4 million and $68.2 million of state NOL carryforwards, respectively. The federal NOLs are not subject to expiration and the state NOLs begin to expire in 2045. These loss carryforwards are available to reduce future federal taxable income, if any. As of December 31, 2025 and 2024, we have recorded a full valuation allowance against our net deferred tax assets.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2025 and 2024</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our results of operations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69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Change</w:t>
            </w:r>
          </w:p>
        </w:tc>
      </w:tr>
      <w:tr>
        <w:trPr>
          <w:trHeight w:val="22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9"/>
        </w:trPr>
        <w:tc>
          <w:tcPr>
            <w:tcW w:w="694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60,263</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57,288</w:t>
            </w:r>
          </w:p>
        </w:tc>
        <w:tc>
          <w:tcPr>
            <w:tcW w:w="10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2,975</w:t>
            </w:r>
          </w:p>
        </w:tc>
      </w:tr>
      <w:tr>
        <w:trPr>
          <w:trHeight w:val="22"/>
        </w:trPr>
        <w:tc>
          <w:tcPr>
            <w:tcW w:w="6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61"/>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28,719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15,451</w:t>
            </w:r>
          </w:p>
        </w:tc>
      </w:tr>
      <w:tr>
        <w:trPr>
          <w:trHeight w:val="232"/>
        </w:trPr>
        <w:tc>
          <w:tcPr>
            <w:tcW w:w="6940" w:type="dxa"/>
            <w:vAlign w:val="bottom"/>
          </w:tcPr>
          <w:p>
            <w:pPr>
              <w:ind w:left="76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88,982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70,556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18,426</w:t>
            </w:r>
          </w:p>
        </w:tc>
      </w:tr>
      <w:tr>
        <w:trPr>
          <w:trHeight w:val="22"/>
        </w:trPr>
        <w:tc>
          <w:tcPr>
            <w:tcW w:w="6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(88,982)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(70,556)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(18,426)</w:t>
            </w:r>
          </w:p>
        </w:tc>
      </w:tr>
      <w:tr>
        <w:trPr>
          <w:trHeight w:val="239"/>
        </w:trPr>
        <w:tc>
          <w:tcPr>
            <w:tcW w:w="6940" w:type="dxa"/>
            <w:vAlign w:val="bottom"/>
          </w:tcPr>
          <w:p>
            <w:pPr>
              <w:ind w:left="20"/>
              <w:spacing w:after="0"/>
              <w:rPr>
                <w:sz w:val="20"/>
                <w:szCs w:val="20"/>
                <w:color w:val="auto"/>
              </w:rPr>
            </w:pPr>
            <w:r>
              <w:rPr>
                <w:rFonts w:ascii="Arial" w:cs="Arial" w:eastAsia="Arial" w:hAnsi="Arial"/>
                <w:sz w:val="17"/>
                <w:szCs w:val="17"/>
                <w:color w:val="auto"/>
              </w:rPr>
              <w:t>Other income:</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
        </w:trPr>
        <w:tc>
          <w:tcPr>
            <w:tcW w:w="6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1"/>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5,125</w:t>
            </w:r>
          </w:p>
        </w:tc>
      </w:tr>
      <w:tr>
        <w:trPr>
          <w:trHeight w:val="239"/>
        </w:trPr>
        <w:tc>
          <w:tcPr>
            <w:tcW w:w="6940" w:type="dxa"/>
            <w:vAlign w:val="bottom"/>
          </w:tcPr>
          <w:p>
            <w:pPr>
              <w:ind w:left="340"/>
              <w:spacing w:after="0"/>
              <w:rPr>
                <w:sz w:val="20"/>
                <w:szCs w:val="20"/>
                <w:color w:val="auto"/>
              </w:rPr>
            </w:pPr>
            <w:r>
              <w:rPr>
                <w:rFonts w:ascii="Arial" w:cs="Arial" w:eastAsia="Arial" w:hAnsi="Arial"/>
                <w:sz w:val="17"/>
                <w:szCs w:val="17"/>
                <w:color w:val="auto"/>
              </w:rPr>
              <w:t>Other income</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(279)</w:t>
            </w:r>
          </w:p>
        </w:tc>
      </w:tr>
      <w:tr>
        <w:trPr>
          <w:trHeight w:val="22"/>
        </w:trPr>
        <w:tc>
          <w:tcPr>
            <w:tcW w:w="6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4"/>
        </w:trPr>
        <w:tc>
          <w:tcPr>
            <w:tcW w:w="6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Total other income:</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4,846</w:t>
            </w:r>
          </w:p>
        </w:tc>
      </w:tr>
      <w:tr>
        <w:trPr>
          <w:trHeight w:val="254"/>
        </w:trPr>
        <w:tc>
          <w:tcPr>
            <w:tcW w:w="69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(75,268)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(61,688)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(13,580)</w:t>
            </w:r>
          </w:p>
        </w:tc>
      </w:tr>
      <w:tr>
        <w:trPr>
          <w:trHeight w:val="20"/>
        </w:trPr>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our research and development expenses (in thousands):</w:t>
      </w:r>
    </w:p>
    <w:p>
      <w:pPr>
        <w:spacing w:after="0" w:line="177"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27940</wp:posOffset>
            </wp:positionV>
            <wp:extent cx="17989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98955"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Change</w:t>
            </w:r>
          </w:p>
        </w:tc>
      </w:tr>
      <w:tr>
        <w:trPr>
          <w:trHeight w:val="22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 research and development expenses by program:</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61"/>
        </w:trPr>
        <w:tc>
          <w:tcPr>
            <w:tcW w:w="6940" w:type="dxa"/>
            <w:vAlign w:val="bottom"/>
          </w:tcPr>
          <w:p>
            <w:pPr>
              <w:ind w:left="340"/>
              <w:spacing w:after="0"/>
              <w:rPr>
                <w:sz w:val="20"/>
                <w:szCs w:val="20"/>
                <w:color w:val="auto"/>
              </w:rPr>
            </w:pPr>
            <w:r>
              <w:rPr>
                <w:rFonts w:ascii="Arial" w:cs="Arial" w:eastAsia="Arial" w:hAnsi="Arial"/>
                <w:sz w:val="17"/>
                <w:szCs w:val="17"/>
                <w:color w:val="auto"/>
              </w:rPr>
              <w:t>NBD1 and combination development programs</w:t>
            </w:r>
            <w:r>
              <w:rPr>
                <w:rFonts w:ascii="Arial" w:cs="Arial" w:eastAsia="Arial" w:hAnsi="Arial"/>
                <w:sz w:val="22"/>
                <w:szCs w:val="22"/>
                <w:color w:val="auto"/>
                <w:vertAlign w:val="superscript"/>
              </w:rPr>
              <w:t>(1)</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32,865</w:t>
            </w:r>
          </w:p>
        </w:tc>
        <w:tc>
          <w:tcPr>
            <w:tcW w:w="10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22,065</w:t>
            </w:r>
          </w:p>
        </w:tc>
        <w:tc>
          <w:tcPr>
            <w:tcW w:w="100" w:type="dxa"/>
            <w:vAlign w:val="bottom"/>
          </w:tcPr>
          <w:p>
            <w:pPr>
              <w:spacing w:after="0"/>
              <w:rPr>
                <w:sz w:val="22"/>
                <w:szCs w:val="22"/>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10,800</w:t>
            </w:r>
          </w:p>
        </w:tc>
      </w:tr>
      <w:tr>
        <w:trPr>
          <w:trHeight w:val="261"/>
        </w:trPr>
        <w:tc>
          <w:tcPr>
            <w:tcW w:w="6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Complementary modulator programs</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r>
      <w:tr>
        <w:trPr>
          <w:trHeight w:val="239"/>
        </w:trPr>
        <w:tc>
          <w:tcPr>
            <w:tcW w:w="6940" w:type="dxa"/>
            <w:vAlign w:val="bottom"/>
          </w:tcPr>
          <w:p>
            <w:pPr>
              <w:ind w:left="20"/>
              <w:spacing w:after="0"/>
              <w:rPr>
                <w:sz w:val="20"/>
                <w:szCs w:val="20"/>
                <w:color w:val="auto"/>
              </w:rPr>
            </w:pPr>
            <w:r>
              <w:rPr>
                <w:rFonts w:ascii="Arial" w:cs="Arial" w:eastAsia="Arial" w:hAnsi="Arial"/>
                <w:sz w:val="17"/>
                <w:szCs w:val="17"/>
                <w:color w:val="auto"/>
              </w:rPr>
              <w:t>Unallocated research and development expenses: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
        </w:trPr>
        <w:tc>
          <w:tcPr>
            <w:tcW w:w="6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1"/>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Personnel-related (including stock-based compensation)</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5,540</w:t>
            </w:r>
          </w:p>
        </w:tc>
      </w:tr>
      <w:tr>
        <w:trPr>
          <w:trHeight w:val="239"/>
        </w:trPr>
        <w:tc>
          <w:tcPr>
            <w:tcW w:w="6940" w:type="dxa"/>
            <w:vAlign w:val="bottom"/>
          </w:tcPr>
          <w:p>
            <w:pPr>
              <w:ind w:left="340"/>
              <w:spacing w:after="0"/>
              <w:rPr>
                <w:sz w:val="20"/>
                <w:szCs w:val="20"/>
                <w:color w:val="auto"/>
              </w:rPr>
            </w:pPr>
            <w:r>
              <w:rPr>
                <w:rFonts w:ascii="Arial" w:cs="Arial" w:eastAsia="Arial" w:hAnsi="Arial"/>
                <w:sz w:val="17"/>
                <w:szCs w:val="17"/>
                <w:color w:val="auto"/>
              </w:rPr>
              <w:t>Other R&amp;D related costs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1,282</w:t>
            </w:r>
          </w:p>
        </w:tc>
      </w:tr>
      <w:tr>
        <w:trPr>
          <w:trHeight w:val="22"/>
        </w:trPr>
        <w:tc>
          <w:tcPr>
            <w:tcW w:w="6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1"/>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Facility, lab and depreciation</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w:t>
            </w:r>
          </w:p>
        </w:tc>
      </w:tr>
      <w:tr>
        <w:trPr>
          <w:trHeight w:val="239"/>
        </w:trPr>
        <w:tc>
          <w:tcPr>
            <w:tcW w:w="6940" w:type="dxa"/>
            <w:vAlign w:val="bottom"/>
          </w:tcPr>
          <w:p>
            <w:pPr>
              <w:ind w:left="340"/>
              <w:spacing w:after="0"/>
              <w:rPr>
                <w:sz w:val="20"/>
                <w:szCs w:val="20"/>
                <w:color w:val="auto"/>
              </w:rPr>
            </w:pPr>
            <w:r>
              <w:rPr>
                <w:rFonts w:ascii="Arial" w:cs="Arial" w:eastAsia="Arial" w:hAnsi="Arial"/>
                <w:sz w:val="17"/>
                <w:szCs w:val="17"/>
                <w:color w:val="auto"/>
              </w:rPr>
              <w:t>IPR&amp;D acquisition related costs</w:t>
            </w:r>
          </w:p>
        </w:tc>
        <w:tc>
          <w:tcPr>
            <w:tcW w:w="3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13,639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(13,639)</w:t>
            </w:r>
          </w:p>
        </w:tc>
      </w:tr>
      <w:tr>
        <w:trPr>
          <w:trHeight w:val="22"/>
        </w:trPr>
        <w:tc>
          <w:tcPr>
            <w:tcW w:w="6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research and development expenses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64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NBD1 and combination development program costs include NBD1 stabilizer activities and development of our proprietary combination</w:t>
      </w:r>
    </w:p>
    <w:p>
      <w:pPr>
        <w:spacing w:after="0"/>
        <w:rPr>
          <w:sz w:val="20"/>
          <w:szCs w:val="20"/>
          <w:color w:val="auto"/>
        </w:rPr>
      </w:pPr>
      <w:r>
        <w:rPr>
          <w:rFonts w:ascii="Arial" w:cs="Arial" w:eastAsia="Arial" w:hAnsi="Arial"/>
          <w:sz w:val="17"/>
          <w:szCs w:val="17"/>
          <w:color w:val="auto"/>
        </w:rPr>
        <w:t>therapy.</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22"/>
          <w:szCs w:val="22"/>
          <w:color w:val="auto"/>
          <w:vertAlign w:val="superscript"/>
        </w:rPr>
        <w:t>(2)</w:t>
      </w:r>
      <w:r>
        <w:rPr>
          <w:rFonts w:ascii="Arial" w:cs="Arial" w:eastAsia="Arial" w:hAnsi="Arial"/>
          <w:sz w:val="17"/>
          <w:szCs w:val="17"/>
          <w:color w:val="auto"/>
        </w:rPr>
        <w:t>Complementary modulator program costs include manufacturing expenses for the complementary modulators.</w:t>
      </w:r>
    </w:p>
    <w:p>
      <w:pPr>
        <w:spacing w:after="0" w:line="64" w:lineRule="exact"/>
        <w:rPr>
          <w:sz w:val="20"/>
          <w:szCs w:val="20"/>
          <w:color w:val="auto"/>
        </w:rPr>
      </w:pPr>
    </w:p>
    <w:p>
      <w:pPr>
        <w:jc w:val="both"/>
        <w:ind w:firstLine="627"/>
        <w:spacing w:after="0" w:line="298" w:lineRule="auto"/>
        <w:rPr>
          <w:sz w:val="20"/>
          <w:szCs w:val="20"/>
          <w:color w:val="auto"/>
        </w:rPr>
      </w:pPr>
      <w:r>
        <w:rPr>
          <w:rFonts w:ascii="Arial" w:cs="Arial" w:eastAsia="Arial" w:hAnsi="Arial"/>
          <w:sz w:val="17"/>
          <w:szCs w:val="17"/>
          <w:color w:val="auto"/>
        </w:rPr>
        <w:t>Research and development expenses increased by $3.0 million to $60.3 million for the year ended December 31, 2025, from $57.3 million for the year ended December 31, 2024. The increase in research and development expenses was primarily due to:</w:t>
      </w:r>
    </w:p>
    <w:p>
      <w:pPr>
        <w:spacing w:after="0" w:line="141" w:lineRule="exact"/>
        <w:rPr>
          <w:sz w:val="20"/>
          <w:szCs w:val="20"/>
          <w:color w:val="auto"/>
        </w:rPr>
      </w:pPr>
    </w:p>
    <w:p>
      <w:pPr>
        <w:ind w:left="640" w:right="180" w:hanging="322"/>
        <w:spacing w:after="0" w:line="298" w:lineRule="auto"/>
        <w:tabs>
          <w:tab w:leader="none" w:pos="636"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direct research and development expenses increased by $10.1 million primarily due to an increase in clinical programs and combination development activities; and</w:t>
      </w:r>
    </w:p>
    <w:p>
      <w:pPr>
        <w:spacing w:after="0" w:line="36" w:lineRule="exact"/>
        <w:rPr>
          <w:rFonts w:ascii="Arial" w:cs="Arial" w:eastAsia="Arial" w:hAnsi="Arial"/>
          <w:sz w:val="17"/>
          <w:szCs w:val="17"/>
          <w:color w:val="auto"/>
        </w:rPr>
      </w:pPr>
    </w:p>
    <w:p>
      <w:pPr>
        <w:ind w:left="640" w:hanging="322"/>
        <w:spacing w:after="0" w:line="270" w:lineRule="auto"/>
        <w:tabs>
          <w:tab w:leader="none" w:pos="636"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unallocated research and development expenses decreased by $7.1 million primarily due to IPR&amp;D acquisition costs incurred in connection with our license agreement with AbbVie of $13.6 million in the third quarter of 2024, partially offset by a $5.5 million increase in personnel-related expenses including stock-based compensation, driven by an increase in the size of our workforce to support our clinical pipeline, and a $1.3 million increase in other R&amp;D related costs, primarily driven by the use of third parties.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our general and administrative expenses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69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4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Personnel-related (including stock-based compensation)</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11,056</w:t>
            </w:r>
          </w:p>
        </w:tc>
      </w:tr>
      <w:tr>
        <w:trPr>
          <w:trHeight w:val="239"/>
        </w:trPr>
        <w:tc>
          <w:tcPr>
            <w:tcW w:w="6940" w:type="dxa"/>
            <w:vAlign w:val="bottom"/>
          </w:tcPr>
          <w:p>
            <w:pPr>
              <w:ind w:left="20"/>
              <w:spacing w:after="0"/>
              <w:rPr>
                <w:sz w:val="20"/>
                <w:szCs w:val="20"/>
                <w:color w:val="auto"/>
              </w:rPr>
            </w:pPr>
            <w:r>
              <w:rPr>
                <w:rFonts w:ascii="Arial" w:cs="Arial" w:eastAsia="Arial" w:hAnsi="Arial"/>
                <w:sz w:val="17"/>
                <w:szCs w:val="17"/>
                <w:color w:val="auto"/>
              </w:rPr>
              <w:t>Professional services &amp; fees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3,969</w:t>
            </w:r>
          </w:p>
        </w:tc>
      </w:tr>
      <w:tr>
        <w:trPr>
          <w:trHeight w:val="22"/>
        </w:trPr>
        <w:tc>
          <w:tcPr>
            <w:tcW w:w="6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6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Facility and depreciation</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426</w:t>
            </w:r>
          </w:p>
        </w:tc>
      </w:tr>
      <w:tr>
        <w:trPr>
          <w:trHeight w:val="254"/>
        </w:trPr>
        <w:tc>
          <w:tcPr>
            <w:tcW w:w="6940" w:type="dxa"/>
            <w:vAlign w:val="bottom"/>
          </w:tcPr>
          <w:p>
            <w:pPr>
              <w:ind w:left="340"/>
              <w:spacing w:after="0"/>
              <w:rPr>
                <w:sz w:val="20"/>
                <w:szCs w:val="20"/>
                <w:color w:val="auto"/>
              </w:rPr>
            </w:pPr>
            <w:r>
              <w:rPr>
                <w:rFonts w:ascii="Arial" w:cs="Arial" w:eastAsia="Arial" w:hAnsi="Arial"/>
                <w:sz w:val="17"/>
                <w:szCs w:val="17"/>
                <w:color w:val="auto"/>
              </w:rPr>
              <w:t>Total general and administrative expenses</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28,719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13,268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15,451</w:t>
            </w:r>
          </w:p>
        </w:tc>
      </w:tr>
      <w:tr>
        <w:trPr>
          <w:trHeight w:val="20"/>
        </w:trPr>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500" w:firstLine="627"/>
        <w:spacing w:after="0" w:line="298" w:lineRule="auto"/>
        <w:rPr>
          <w:sz w:val="20"/>
          <w:szCs w:val="20"/>
          <w:color w:val="auto"/>
        </w:rPr>
      </w:pPr>
      <w:r>
        <w:rPr>
          <w:rFonts w:ascii="Arial" w:cs="Arial" w:eastAsia="Arial" w:hAnsi="Arial"/>
          <w:sz w:val="17"/>
          <w:szCs w:val="17"/>
          <w:color w:val="auto"/>
        </w:rPr>
        <w:t>General and administrative expenses increased by $ 15.5 million to $28.7 million for the year ended December 31, 2025, from $13.3 million for the year ended December 31, 2024. The increase in general and administrative expenses was primarily due to:</w:t>
      </w:r>
    </w:p>
    <w:p>
      <w:pPr>
        <w:spacing w:after="0" w:line="37" w:lineRule="exact"/>
        <w:rPr>
          <w:sz w:val="20"/>
          <w:szCs w:val="20"/>
          <w:color w:val="auto"/>
        </w:rPr>
      </w:pPr>
    </w:p>
    <w:p>
      <w:pPr>
        <w:ind w:left="640" w:right="640" w:hanging="166"/>
        <w:spacing w:after="0" w:line="298" w:lineRule="auto"/>
        <w:tabs>
          <w:tab w:leader="none" w:pos="636" w:val="left"/>
        </w:tabs>
        <w:numPr>
          <w:ilvl w:val="0"/>
          <w:numId w:val="57"/>
        </w:numPr>
        <w:rPr>
          <w:rFonts w:ascii="Arial" w:cs="Arial" w:eastAsia="Arial" w:hAnsi="Arial"/>
          <w:sz w:val="17"/>
          <w:szCs w:val="17"/>
          <w:color w:val="auto"/>
        </w:rPr>
      </w:pPr>
      <w:r>
        <w:rPr>
          <w:rFonts w:ascii="Arial" w:cs="Arial" w:eastAsia="Arial" w:hAnsi="Arial"/>
          <w:sz w:val="17"/>
          <w:szCs w:val="17"/>
          <w:color w:val="auto"/>
        </w:rPr>
        <w:t>$11.1 million increase in personnel-related expenses including stock-based compensation, driven by an increase in the size of our workforce; and</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$4.0 million increase in fees related to the use of third parties, including consultants and professional service organizations.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118" w:lineRule="exact"/>
        <w:rPr>
          <w:sz w:val="20"/>
          <w:szCs w:val="20"/>
          <w:color w:val="auto"/>
        </w:rPr>
      </w:pPr>
    </w:p>
    <w:p>
      <w:pPr>
        <w:jc w:val="both"/>
        <w:ind w:right="200" w:firstLine="627"/>
        <w:spacing w:after="0" w:line="298" w:lineRule="auto"/>
        <w:rPr>
          <w:sz w:val="20"/>
          <w:szCs w:val="20"/>
          <w:color w:val="auto"/>
        </w:rPr>
      </w:pPr>
      <w:r>
        <w:rPr>
          <w:rFonts w:ascii="Arial" w:cs="Arial" w:eastAsia="Arial" w:hAnsi="Arial"/>
          <w:sz w:val="17"/>
          <w:szCs w:val="17"/>
          <w:color w:val="auto"/>
        </w:rPr>
        <w:t>Interest income increased by $5.1 million to $ 13.3 million for the year ended December 31, 2025, from $ 8.2 million for the year ended December 31, 2024, primarily driven by an increased investment in debt securities due to the proceeds received from the initial public offering.</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18" w:lineRule="exact"/>
        <w:rPr>
          <w:sz w:val="20"/>
          <w:szCs w:val="20"/>
          <w:color w:val="auto"/>
        </w:rPr>
      </w:pPr>
    </w:p>
    <w:p>
      <w:pPr>
        <w:ind w:firstLine="627"/>
        <w:spacing w:after="0" w:line="298" w:lineRule="auto"/>
        <w:rPr>
          <w:sz w:val="20"/>
          <w:szCs w:val="20"/>
          <w:color w:val="auto"/>
        </w:rPr>
      </w:pPr>
      <w:r>
        <w:rPr>
          <w:rFonts w:ascii="Arial" w:cs="Arial" w:eastAsia="Arial" w:hAnsi="Arial"/>
          <w:sz w:val="17"/>
          <w:szCs w:val="17"/>
          <w:color w:val="auto"/>
        </w:rPr>
        <w:t>Other income was $0.4 million and $0.7 million for the years ended December 31, 2025, and 2024, respectively, due to sublease income in connection with our subleasing agreement.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8" w:lineRule="exact"/>
        <w:rPr>
          <w:sz w:val="20"/>
          <w:szCs w:val="20"/>
          <w:color w:val="auto"/>
        </w:rPr>
      </w:pPr>
    </w:p>
    <w:p>
      <w:pPr>
        <w:ind w:right="40" w:firstLine="627"/>
        <w:spacing w:after="0" w:line="265"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and negative cash flows from operations. We expect to continue to incur significant expenses and operating losses for the foreseeable future as we advance the clinical development of our product candidates and any future product candidates. As such, we expect our research and development and general and administrative costs will continue to increase significantly, including the costs associated with operating as a public company. As a result, we will need additional capital to fund our operations, which we may obtain from additional equity or debt financings or strategic agreements.</w:t>
      </w:r>
    </w:p>
    <w:p>
      <w:pPr>
        <w:spacing w:after="0" w:line="3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2025, we had $310.3 million in cash, cash equivalents and marketable securities.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 summary of the net cash flow activity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Year Ended December 31,</w:t>
            </w:r>
          </w:p>
        </w:tc>
      </w:tr>
      <w:tr>
        <w:trPr>
          <w:trHeight w:val="215"/>
        </w:trPr>
        <w:tc>
          <w:tcPr>
            <w:tcW w:w="7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2024</w:t>
            </w:r>
          </w:p>
        </w:tc>
      </w:tr>
      <w:tr>
        <w:trPr>
          <w:trHeight w:val="241"/>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(66,297)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(52,787)</w:t>
            </w:r>
          </w:p>
        </w:tc>
      </w:tr>
      <w:tr>
        <w:trPr>
          <w:trHeight w:val="239"/>
        </w:trPr>
        <w:tc>
          <w:tcPr>
            <w:tcW w:w="77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(118,749)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(126,913)</w:t>
            </w:r>
          </w:p>
        </w:tc>
      </w:tr>
      <w:tr>
        <w:trPr>
          <w:trHeight w:val="22"/>
        </w:trPr>
        <w:tc>
          <w:tcPr>
            <w:tcW w:w="7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1"/>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205,710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178,967</w:t>
            </w:r>
          </w:p>
        </w:tc>
      </w:tr>
      <w:tr>
        <w:trPr>
          <w:trHeight w:val="254"/>
        </w:trPr>
        <w:tc>
          <w:tcPr>
            <w:tcW w:w="7780" w:type="dxa"/>
            <w:vAlign w:val="bottom"/>
          </w:tcPr>
          <w:p>
            <w:pPr>
              <w:ind w:left="34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20,664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(733)</w:t>
            </w:r>
          </w:p>
        </w:tc>
      </w:tr>
      <w:tr>
        <w:trPr>
          <w:trHeight w:val="20"/>
        </w:trPr>
        <w:tc>
          <w:tcPr>
            <w:tcW w:w="7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18" w:lineRule="exact"/>
        <w:rPr>
          <w:sz w:val="20"/>
          <w:szCs w:val="20"/>
          <w:color w:val="auto"/>
        </w:rPr>
      </w:pPr>
    </w:p>
    <w:p>
      <w:pPr>
        <w:ind w:right="100" w:firstLine="627"/>
        <w:spacing w:after="0" w:line="277" w:lineRule="auto"/>
        <w:rPr>
          <w:sz w:val="20"/>
          <w:szCs w:val="20"/>
          <w:color w:val="auto"/>
        </w:rPr>
      </w:pPr>
      <w:r>
        <w:rPr>
          <w:rFonts w:ascii="Arial" w:cs="Arial" w:eastAsia="Arial" w:hAnsi="Arial"/>
          <w:sz w:val="17"/>
          <w:szCs w:val="17"/>
          <w:color w:val="auto"/>
        </w:rPr>
        <w:t>For the year ended December 31, 2025, net cash used in operating activities was $66.3 million primarily due to our net loss of $75.3 million and changes in operating assets and liabilities of $2.7 million, partially offset by $11.6 million of non-cash charges related to stock-based compensation, depreciation, non-cash operating lease expense and amortization of discounts on marketable securities.</w:t>
      </w:r>
    </w:p>
    <w:p>
      <w:pPr>
        <w:spacing w:after="0" w:line="159" w:lineRule="exact"/>
        <w:rPr>
          <w:sz w:val="20"/>
          <w:szCs w:val="20"/>
          <w:color w:val="auto"/>
        </w:rPr>
      </w:pPr>
    </w:p>
    <w:p>
      <w:pPr>
        <w:ind w:right="100" w:firstLine="627"/>
        <w:spacing w:after="0" w:line="277" w:lineRule="auto"/>
        <w:rPr>
          <w:sz w:val="20"/>
          <w:szCs w:val="20"/>
          <w:color w:val="auto"/>
        </w:rPr>
      </w:pPr>
      <w:r>
        <w:rPr>
          <w:rFonts w:ascii="Arial" w:cs="Arial" w:eastAsia="Arial" w:hAnsi="Arial"/>
          <w:sz w:val="17"/>
          <w:szCs w:val="17"/>
          <w:color w:val="auto"/>
        </w:rPr>
        <w:t>For the year ended December 31, 2024, net cash used in operating activities was $52.8 million primarily due to our net loss of $61.7 million and changes in operating assets and liabilities of $3.1 million, partially offset by $12.0 million of non-cash charges related to stock-based compensation, depreciation, non-cash operating lease expense and amortization of discounts on marketable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18" w:lineRule="exact"/>
        <w:rPr>
          <w:sz w:val="20"/>
          <w:szCs w:val="20"/>
          <w:color w:val="auto"/>
        </w:rPr>
      </w:pPr>
    </w:p>
    <w:p>
      <w:pPr>
        <w:ind w:right="320" w:firstLine="627"/>
        <w:spacing w:after="0" w:line="277" w:lineRule="auto"/>
        <w:rPr>
          <w:sz w:val="20"/>
          <w:szCs w:val="20"/>
          <w:color w:val="auto"/>
        </w:rPr>
      </w:pPr>
      <w:r>
        <w:rPr>
          <w:rFonts w:ascii="Arial" w:cs="Arial" w:eastAsia="Arial" w:hAnsi="Arial"/>
          <w:sz w:val="17"/>
          <w:szCs w:val="17"/>
          <w:color w:val="auto"/>
        </w:rPr>
        <w:t>Net cash used in investing activities was $118.7 million during the year ended December 31, 2025, which was primarily driven by purchases of marketable securities of $325.0 million and purchases of property and equipment of $0.4 million, partially offset by maturities of marketable securities of $206.7 million.</w:t>
      </w:r>
    </w:p>
    <w:p>
      <w:pPr>
        <w:spacing w:after="0" w:line="159" w:lineRule="exact"/>
        <w:rPr>
          <w:sz w:val="20"/>
          <w:szCs w:val="20"/>
          <w:color w:val="auto"/>
        </w:rPr>
      </w:pPr>
    </w:p>
    <w:p>
      <w:pPr>
        <w:ind w:right="580" w:firstLine="627"/>
        <w:spacing w:after="0" w:line="298" w:lineRule="auto"/>
        <w:rPr>
          <w:sz w:val="20"/>
          <w:szCs w:val="20"/>
          <w:color w:val="auto"/>
        </w:rPr>
      </w:pPr>
      <w:r>
        <w:rPr>
          <w:rFonts w:ascii="Arial" w:cs="Arial" w:eastAsia="Arial" w:hAnsi="Arial"/>
          <w:sz w:val="17"/>
          <w:szCs w:val="17"/>
          <w:color w:val="auto"/>
        </w:rPr>
        <w:t>Net cash used in investing activities was $126.9 million during the year ended December 31, 2024, which was primarily driven by purchases of marketable securities for $182.8 million, partially offset by maturities of marketable securities of $56.0 million.</w:t>
      </w: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18" w:lineRule="exact"/>
        <w:rPr>
          <w:sz w:val="20"/>
          <w:szCs w:val="20"/>
          <w:color w:val="auto"/>
        </w:rPr>
      </w:pPr>
    </w:p>
    <w:p>
      <w:pPr>
        <w:ind w:right="180" w:firstLine="627"/>
        <w:spacing w:after="0" w:line="298" w:lineRule="auto"/>
        <w:rPr>
          <w:sz w:val="20"/>
          <w:szCs w:val="20"/>
          <w:color w:val="auto"/>
        </w:rPr>
      </w:pPr>
      <w:r>
        <w:rPr>
          <w:rFonts w:ascii="Arial" w:cs="Arial" w:eastAsia="Arial" w:hAnsi="Arial"/>
          <w:sz w:val="17"/>
          <w:szCs w:val="17"/>
          <w:color w:val="auto"/>
        </w:rPr>
        <w:t>Net cash provided by financing activities was $205.7 million during the year ended December 31, 2025, primarily due to net proceeds of $202.1 million received when the Company closed its IPO plus exercise proceeds totaling $3.6 million.</w:t>
      </w:r>
    </w:p>
    <w:p>
      <w:pPr>
        <w:spacing w:after="0" w:line="246" w:lineRule="exact"/>
        <w:rPr>
          <w:sz w:val="20"/>
          <w:szCs w:val="20"/>
          <w:color w:val="auto"/>
        </w:rPr>
      </w:pPr>
    </w:p>
    <w:p>
      <w:pPr>
        <w:ind w:right="180" w:firstLine="627"/>
        <w:spacing w:after="0" w:line="298" w:lineRule="auto"/>
        <w:rPr>
          <w:sz w:val="20"/>
          <w:szCs w:val="20"/>
          <w:color w:val="auto"/>
        </w:rPr>
      </w:pPr>
      <w:r>
        <w:rPr>
          <w:rFonts w:ascii="Arial" w:cs="Arial" w:eastAsia="Arial" w:hAnsi="Arial"/>
          <w:sz w:val="17"/>
          <w:szCs w:val="17"/>
          <w:color w:val="auto"/>
        </w:rPr>
        <w:t>Net cash provided by financing activities was $179.0 million during the year ended December 31, 2024, during which time the Company closed its Series C Financing.</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Funding Requirements</w:t>
      </w:r>
    </w:p>
    <w:p>
      <w:pPr>
        <w:spacing w:after="0" w:line="118" w:lineRule="exact"/>
        <w:rPr>
          <w:sz w:val="20"/>
          <w:szCs w:val="20"/>
          <w:color w:val="auto"/>
        </w:rPr>
      </w:pPr>
    </w:p>
    <w:p>
      <w:pPr>
        <w:ind w:right="40" w:firstLine="627"/>
        <w:spacing w:after="0" w:line="266" w:lineRule="auto"/>
        <w:rPr>
          <w:sz w:val="20"/>
          <w:szCs w:val="20"/>
          <w:color w:val="auto"/>
        </w:rPr>
      </w:pPr>
      <w:r>
        <w:rPr>
          <w:rFonts w:ascii="Arial" w:cs="Arial" w:eastAsia="Arial" w:hAnsi="Arial"/>
          <w:sz w:val="17"/>
          <w:szCs w:val="17"/>
          <w:color w:val="auto"/>
        </w:rPr>
        <w:t>As of December 31, 2025, we had cash, cash equivalents and marketable securities of $310.3 million. Based upon our current operating plans, we believe that our existing cash, cash equivalents and marketable securities will be sufficient to fund our operations into 2028. However, our forecast for the period of time through which our financial resources will be adequate to support our operations is a forward-looking statement that involves risks and uncertainties, and actual results could vary materially. Additionally, conducting preclinical studies and clinical trials is costly, and the timing of progress and expenses in these studies and trials is uncertain. We will need to raise substantial additional capital in the future.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future funding requirements will depend largely on:</w:t>
      </w:r>
    </w:p>
    <w:p>
      <w:pPr>
        <w:spacing w:after="0" w:line="118" w:lineRule="exact"/>
        <w:rPr>
          <w:sz w:val="20"/>
          <w:szCs w:val="20"/>
          <w:color w:val="auto"/>
        </w:rPr>
      </w:pPr>
    </w:p>
    <w:p>
      <w:pPr>
        <w:ind w:left="640" w:right="160" w:hanging="166"/>
        <w:spacing w:after="0" w:line="298" w:lineRule="auto"/>
        <w:tabs>
          <w:tab w:leader="none" w:pos="63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type, number, scope, progress, expansions, results, costs and timing of, discovery, preclinical studies and clinical trials of our current and future product candidates;</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costs and timing of manufacturing for our current and future product candidates and commercial manufacturing;</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current and future product candidates;</w:t>
      </w:r>
    </w:p>
    <w:p>
      <w:pPr>
        <w:spacing w:after="0" w:line="117" w:lineRule="exact"/>
        <w:rPr>
          <w:rFonts w:ascii="Arial" w:cs="Arial" w:eastAsia="Arial" w:hAnsi="Arial"/>
          <w:sz w:val="17"/>
          <w:szCs w:val="17"/>
          <w:color w:val="auto"/>
        </w:rPr>
      </w:pPr>
    </w:p>
    <w:p>
      <w:pPr>
        <w:ind w:left="640" w:right="80" w:hanging="166"/>
        <w:spacing w:after="0" w:line="298" w:lineRule="auto"/>
        <w:tabs>
          <w:tab w:leader="none" w:pos="63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timing and amount of milestones, royalties, or other payments we may be required to make to third parties, including Sanofi, CFF and AbbVie, and the terms and timing of establishing and maintaining any other similar arrangements we may enter in the future;</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legal costs of obtaining, maintaining and enforcing our patents and other intellectual property rights;</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efforts to enhance operational systems and hire additional personnel to satisfy our obligations as a public company;</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costs associated with hiring additional personnel and consultants as our clinical and pre-commercial activities increase;</w:t>
      </w:r>
    </w:p>
    <w:p>
      <w:pPr>
        <w:spacing w:after="0" w:line="117" w:lineRule="exact"/>
        <w:rPr>
          <w:rFonts w:ascii="Arial" w:cs="Arial" w:eastAsia="Arial" w:hAnsi="Arial"/>
          <w:sz w:val="17"/>
          <w:szCs w:val="17"/>
          <w:color w:val="auto"/>
        </w:rPr>
      </w:pPr>
    </w:p>
    <w:p>
      <w:pPr>
        <w:ind w:left="620" w:hanging="146"/>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costs and timing of establishing or securing sales and marketing capabilities if any current or future product candidate is approved;</w:t>
      </w:r>
    </w:p>
    <w:p>
      <w:pPr>
        <w:spacing w:after="0" w:line="117" w:lineRule="exact"/>
        <w:rPr>
          <w:rFonts w:ascii="Arial" w:cs="Arial" w:eastAsia="Arial" w:hAnsi="Arial"/>
          <w:sz w:val="17"/>
          <w:szCs w:val="17"/>
          <w:color w:val="auto"/>
        </w:rPr>
      </w:pPr>
    </w:p>
    <w:p>
      <w:pPr>
        <w:ind w:left="640" w:right="160" w:hanging="166"/>
        <w:spacing w:after="0" w:line="298" w:lineRule="auto"/>
        <w:tabs>
          <w:tab w:leader="none" w:pos="636"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ability to achieve sufficient market acceptance, coverage and adequate reimbursement from third-party payors and adequate market share and revenue for any approved products;</w:t>
      </w:r>
    </w:p>
    <w:p>
      <w:pPr>
        <w:spacing w:after="0" w:line="36" w:lineRule="exact"/>
        <w:rPr>
          <w:rFonts w:ascii="Arial" w:cs="Arial" w:eastAsia="Arial" w:hAnsi="Arial"/>
          <w:sz w:val="17"/>
          <w:szCs w:val="17"/>
          <w:color w:val="auto"/>
        </w:rPr>
      </w:pPr>
    </w:p>
    <w:p>
      <w:pPr>
        <w:ind w:left="640" w:right="320" w:hanging="166"/>
        <w:spacing w:after="0" w:line="298" w:lineRule="auto"/>
        <w:tabs>
          <w:tab w:leader="none" w:pos="63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financial terms of any such agreement that we may enter into, including if we in-license or acquire additional product candidates or intellectual property; and</w:t>
      </w:r>
    </w:p>
    <w:p>
      <w:pPr>
        <w:spacing w:after="0" w:line="36" w:lineRule="exact"/>
        <w:rPr>
          <w:rFonts w:ascii="Arial" w:cs="Arial" w:eastAsia="Arial" w:hAnsi="Arial"/>
          <w:sz w:val="17"/>
          <w:szCs w:val="17"/>
          <w:color w:val="auto"/>
        </w:rPr>
      </w:pPr>
    </w:p>
    <w:p>
      <w:pPr>
        <w:ind w:left="620" w:hanging="146"/>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costs to add additional operational, financial, clinical, quality and management information systems.</w:t>
      </w:r>
    </w:p>
    <w:p>
      <w:pPr>
        <w:spacing w:after="0" w:line="222"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We have no committed sources of capital. Until such time, if ever, as we can generate substantial product revenue to support our cost structure, we expect to finance our cash needs through equity offerings, debt financings or other capital sources, potentially including collaborations, licenses or other strategic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existing common stockholders. In addition, debt financing and equity financing, if available, may involve agreements that include covenants limiting or restricting our ability to take specific actions, such as incurring additional debt, making capital expenditures, or declaring dividends. If we raise additional funds through a strategic agreement, we may have to grant rights to develop and market our current and future product candidates even if we would otherwise prefer to develop and market such product candidates ourselves. Our failure to raise capital or enter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20"/>
        <w:spacing w:after="0" w:line="298" w:lineRule="auto"/>
        <w:rPr>
          <w:sz w:val="20"/>
          <w:szCs w:val="20"/>
          <w:color w:val="auto"/>
        </w:rPr>
      </w:pPr>
      <w:r>
        <w:rPr>
          <w:rFonts w:ascii="Arial" w:cs="Arial" w:eastAsia="Arial" w:hAnsi="Arial"/>
          <w:sz w:val="17"/>
          <w:szCs w:val="17"/>
          <w:color w:val="auto"/>
        </w:rPr>
        <w:t>into such other arrangements when needed could have a negative impact on our financial condition and on our ability to pursue our business plans and strategies.</w:t>
      </w:r>
    </w:p>
    <w:p>
      <w:pPr>
        <w:spacing w:after="0" w:line="141" w:lineRule="exact"/>
        <w:rPr>
          <w:sz w:val="20"/>
          <w:szCs w:val="20"/>
          <w:color w:val="auto"/>
        </w:rPr>
      </w:pPr>
    </w:p>
    <w:p>
      <w:pPr>
        <w:ind w:right="540" w:firstLine="627"/>
        <w:spacing w:after="0" w:line="298" w:lineRule="auto"/>
        <w:rPr>
          <w:sz w:val="20"/>
          <w:szCs w:val="20"/>
          <w:color w:val="auto"/>
        </w:rPr>
      </w:pPr>
      <w:r>
        <w:rPr>
          <w:rFonts w:ascii="Arial" w:cs="Arial" w:eastAsia="Arial" w:hAnsi="Arial"/>
          <w:sz w:val="17"/>
          <w:szCs w:val="17"/>
          <w:color w:val="auto"/>
        </w:rPr>
        <w:t>If we are unable to raise additional funds, we may be required to delay, limit, reduce or terminate our product development or future commercialization efforts.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and Manufacturing Agreements</w:t>
      </w:r>
    </w:p>
    <w:p>
      <w:pPr>
        <w:spacing w:after="0" w:line="118"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We enter into contracts in the ordinary course of business with CROs, CDMOs and other vendors to assist in the research and development activities and other services and products for operating purposes. These contracts generally provide for termination at any time upon a certain amount of prior notice.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18" w:lineRule="exact"/>
        <w:rPr>
          <w:sz w:val="20"/>
          <w:szCs w:val="20"/>
          <w:color w:val="auto"/>
        </w:rPr>
      </w:pPr>
    </w:p>
    <w:p>
      <w:pPr>
        <w:ind w:right="40" w:firstLine="627"/>
        <w:spacing w:after="0" w:line="266" w:lineRule="auto"/>
        <w:rPr>
          <w:sz w:val="20"/>
          <w:szCs w:val="20"/>
          <w:color w:val="auto"/>
        </w:rPr>
      </w:pPr>
      <w:r>
        <w:rPr>
          <w:rFonts w:ascii="Arial" w:cs="Arial" w:eastAsia="Arial" w:hAnsi="Arial"/>
          <w:sz w:val="17"/>
          <w:szCs w:val="17"/>
          <w:color w:val="auto"/>
        </w:rPr>
        <w:t>In May 2022, we executed a non-cancelable operating lease in Waltham, Massachusetts (the “Waltham Lease”) to rent out 24,051 square feet of laboratory and office space and relocated our headquarters to Waltham in January 2023. Total expected cash payments in connection with the Waltham Lease will be $9.7 million over the term of the agreement ending in 2030. This excludes our share of facility operating expenses, real-estate taxes and other costs that are reimbursable to the landlord under the lease. For additional information regarding the lease obligations see Note 7, “Leases” in our consolidated financial statements included elsewhere in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Agreements</w:t>
      </w:r>
    </w:p>
    <w:p>
      <w:pPr>
        <w:spacing w:after="0" w:line="118" w:lineRule="exact"/>
        <w:rPr>
          <w:sz w:val="20"/>
          <w:szCs w:val="20"/>
          <w:color w:val="auto"/>
        </w:rPr>
      </w:pPr>
    </w:p>
    <w:p>
      <w:pPr>
        <w:ind w:right="20" w:firstLine="627"/>
        <w:spacing w:after="0" w:line="266" w:lineRule="auto"/>
        <w:rPr>
          <w:sz w:val="20"/>
          <w:szCs w:val="20"/>
          <w:color w:val="auto"/>
        </w:rPr>
      </w:pPr>
      <w:r>
        <w:rPr>
          <w:rFonts w:ascii="Arial" w:cs="Arial" w:eastAsia="Arial" w:hAnsi="Arial"/>
          <w:sz w:val="17"/>
          <w:szCs w:val="17"/>
          <w:color w:val="auto"/>
        </w:rPr>
        <w:t>Our agreements with certain third parties to license intellectual property include potential milestone fees, sublicense fees and royalty fees. The milestone fees are dependent upon the development of products using the intellectual property licensed under the arrangements and contingent upon the achievement of development or regulatory approval milestones, as well as commercial milestones. These potential obligations are contingent upon the occurrence of future events and the timing and likelihood of such potential obligations are not known with certainty. For further information regarding these agreements, please see “</w:t>
      </w:r>
      <w:r>
        <w:rPr>
          <w:rFonts w:ascii="Arial" w:cs="Arial" w:eastAsia="Arial" w:hAnsi="Arial"/>
          <w:sz w:val="17"/>
          <w:szCs w:val="17"/>
          <w:i w:val="1"/>
          <w:iCs w:val="1"/>
          <w:color w:val="auto"/>
        </w:rPr>
        <w:t>Business—Licenses and Collaboration Agreements</w:t>
      </w:r>
      <w:r>
        <w:rPr>
          <w:rFonts w:ascii="Arial" w:cs="Arial" w:eastAsia="Arial" w:hAnsi="Arial"/>
          <w:sz w:val="17"/>
          <w:szCs w:val="17"/>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0" w:lineRule="exact"/>
        <w:rPr>
          <w:sz w:val="20"/>
          <w:szCs w:val="20"/>
          <w:color w:val="auto"/>
        </w:rPr>
      </w:pPr>
    </w:p>
    <w:p>
      <w:pPr>
        <w:ind w:right="20" w:firstLine="627"/>
        <w:spacing w:after="0" w:line="261"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are prepared in accordance with generally accepted accounting principles in the United States of America. The preparation of our consolidated financial statements requires us to make estimates and assumptions that affect the reported amounts of assets, liabilities, costs and expenses and the disclosure of contingent assets and liabilities in our consolidated financial statements and accompanying notes. We base our estimates and assumptions on historical experience and other factors that we believe to be reasonable under the circumstances. We evaluate our estimates and judgments on an ongoing basis.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75" w:lineRule="exact"/>
        <w:rPr>
          <w:sz w:val="20"/>
          <w:szCs w:val="20"/>
          <w:color w:val="auto"/>
        </w:rPr>
      </w:pPr>
    </w:p>
    <w:p>
      <w:pPr>
        <w:ind w:right="520" w:firstLine="627"/>
        <w:spacing w:after="0" w:line="298" w:lineRule="auto"/>
        <w:rPr>
          <w:sz w:val="20"/>
          <w:szCs w:val="20"/>
          <w:color w:val="auto"/>
        </w:rPr>
      </w:pPr>
      <w:r>
        <w:rPr>
          <w:rFonts w:ascii="Arial" w:cs="Arial" w:eastAsia="Arial" w:hAnsi="Arial"/>
          <w:sz w:val="17"/>
          <w:szCs w:val="17"/>
          <w:color w:val="auto"/>
        </w:rPr>
        <w:t>While our significant accounting policies are more fully described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in our consolidated financial statements included elsewhere in this Annual Report, we believe that our critical accounting estimates are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 and Accruals</w:t>
      </w:r>
    </w:p>
    <w:p>
      <w:pPr>
        <w:spacing w:after="0" w:line="118" w:lineRule="exact"/>
        <w:rPr>
          <w:sz w:val="20"/>
          <w:szCs w:val="20"/>
          <w:color w:val="auto"/>
        </w:rPr>
      </w:pPr>
    </w:p>
    <w:p>
      <w:pPr>
        <w:ind w:right="140" w:firstLine="627"/>
        <w:spacing w:after="0" w:line="270" w:lineRule="auto"/>
        <w:rPr>
          <w:sz w:val="20"/>
          <w:szCs w:val="20"/>
          <w:color w:val="auto"/>
        </w:rPr>
      </w:pPr>
      <w:r>
        <w:rPr>
          <w:rFonts w:ascii="Arial" w:cs="Arial" w:eastAsia="Arial" w:hAnsi="Arial"/>
          <w:sz w:val="17"/>
          <w:szCs w:val="17"/>
          <w:color w:val="auto"/>
        </w:rPr>
        <w:t>In preparing the consolidated financial statements, we are required to estimate our accrued research and development expenses as of each balance sheet date. In accruing service fees, we estimate the time period over which services will be performed and the level of effort to be expended in each period. This process involves reviewing open contracts, communicating with internal personnel to identify services that have been performed on our behalf and estimating the level of service performed and the associated cost incurred for the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service when we have not yet been invoiced or otherwise notified of the actual cost. We periodically confirm the accuracy of our estimates with our service providers and make adjustments, if necessary. The majority of our service providers invoice in arrears for services performed or when contractual milestones are met. The financial terms of agreements with these service providers are subject to negotiation, vary from contract-to-contract and may result in uneven payment flows. In circumstances where amounts have been paid in excess of costs incurred, we record a prepaid expense.</w:t>
      </w:r>
    </w:p>
    <w:p>
      <w:pPr>
        <w:spacing w:after="0" w:line="170" w:lineRule="exact"/>
        <w:rPr>
          <w:sz w:val="20"/>
          <w:szCs w:val="20"/>
          <w:color w:val="auto"/>
        </w:rPr>
      </w:pPr>
    </w:p>
    <w:p>
      <w:pPr>
        <w:ind w:right="560" w:firstLine="627"/>
        <w:spacing w:after="0" w:line="298" w:lineRule="auto"/>
        <w:rPr>
          <w:sz w:val="20"/>
          <w:szCs w:val="20"/>
          <w:color w:val="auto"/>
        </w:rPr>
      </w:pPr>
      <w:r>
        <w:rPr>
          <w:rFonts w:ascii="Arial" w:cs="Arial" w:eastAsia="Arial" w:hAnsi="Arial"/>
          <w:sz w:val="17"/>
          <w:szCs w:val="17"/>
          <w:color w:val="auto"/>
        </w:rPr>
        <w:t>Contingent developmental and regulatory milestone payments will be recognized when the milestone is achieved, and commercial milestones, such as sales-based milestone payments, and royalties will be recognized when the underlying sale(s) occur.</w:t>
      </w:r>
    </w:p>
    <w:p>
      <w:pPr>
        <w:spacing w:after="0" w:line="141" w:lineRule="exact"/>
        <w:rPr>
          <w:sz w:val="20"/>
          <w:szCs w:val="20"/>
          <w:color w:val="auto"/>
        </w:rPr>
      </w:pPr>
    </w:p>
    <w:p>
      <w:pPr>
        <w:ind w:right="20" w:firstLine="627"/>
        <w:spacing w:after="0" w:line="277" w:lineRule="auto"/>
        <w:rPr>
          <w:sz w:val="20"/>
          <w:szCs w:val="20"/>
          <w:color w:val="auto"/>
        </w:rPr>
      </w:pPr>
      <w:r>
        <w:rPr>
          <w:rFonts w:ascii="Arial" w:cs="Arial" w:eastAsia="Arial" w:hAnsi="Arial"/>
          <w:sz w:val="17"/>
          <w:szCs w:val="17"/>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8"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We measure all stock options and other stock-based awards granted to employees, directors and non-employees based on their fair value on the date of the grant. We recognize compensation expense for awards to employees and directors over the requisite service period, which is generally the vesting period of the respective award. Compensation expense for awards to non-employees with service-based vesting conditions is recognized in the same manner as if we had paid cash in exchange for the goods or services, which is generally over the vesting period of the award. Our stock-based payments include stock options and grants of restricted common stock awards. For stock-based awards with service-based vesting conditions, we recognize compensation expense using the straight-line method. The fair value of each restricted common stock award is estimated on the date of grant based on the fair value of our common stock on that same date.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Changes in the assumptions can materially affect the fair value and ultimately how much stock-based compensation expense is recognized. These inputs are subjective and generally require judgment to develop. See Note 12, “</w:t>
      </w:r>
      <w:r>
        <w:rPr>
          <w:rFonts w:ascii="Arial" w:cs="Arial" w:eastAsia="Arial" w:hAnsi="Arial"/>
          <w:sz w:val="17"/>
          <w:szCs w:val="17"/>
          <w:i w:val="1"/>
          <w:iCs w:val="1"/>
          <w:color w:val="auto"/>
        </w:rPr>
        <w:t>Stock-based Compensation</w:t>
      </w:r>
      <w:r>
        <w:rPr>
          <w:rFonts w:ascii="Arial" w:cs="Arial" w:eastAsia="Arial" w:hAnsi="Arial"/>
          <w:sz w:val="17"/>
          <w:szCs w:val="17"/>
          <w:color w:val="auto"/>
        </w:rPr>
        <w:t>” in our consolidated financial statements included elsewhere in this Annual Report for information concerning certain of the specific assumptions we used in applying the Black-Scholes option pricing model to determine the estimated fair value of our stock options granted for the years ended December 31, 2025 and 2024. For awards to non-employees, the expected term of the option is equal to the contractual term of the non-employees’ service agreement.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Fair Value of Common Stock Valuations</w:t>
      </w:r>
    </w:p>
    <w:p>
      <w:pPr>
        <w:spacing w:after="0" w:line="118" w:lineRule="exact"/>
        <w:rPr>
          <w:sz w:val="20"/>
          <w:szCs w:val="20"/>
          <w:color w:val="auto"/>
        </w:rPr>
      </w:pPr>
    </w:p>
    <w:p>
      <w:pPr>
        <w:ind w:right="60" w:firstLine="627"/>
        <w:spacing w:after="0" w:line="263" w:lineRule="auto"/>
        <w:rPr>
          <w:sz w:val="20"/>
          <w:szCs w:val="20"/>
          <w:color w:val="auto"/>
        </w:rPr>
      </w:pPr>
      <w:r>
        <w:rPr>
          <w:rFonts w:ascii="Arial" w:cs="Arial" w:eastAsia="Arial" w:hAnsi="Arial"/>
          <w:sz w:val="17"/>
          <w:szCs w:val="17"/>
          <w:color w:val="auto"/>
        </w:rPr>
        <w:t xml:space="preserve">Prior to the completion of our IPO, there was no public market for our common stock. As a result,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w:t>
      </w:r>
      <w:r>
        <w:rPr>
          <w:rFonts w:ascii="Arial" w:cs="Arial" w:eastAsia="Arial" w:hAnsi="Arial"/>
          <w:sz w:val="17"/>
          <w:szCs w:val="17"/>
          <w:i w:val="1"/>
          <w:iCs w:val="1"/>
          <w:color w:val="auto"/>
        </w:rPr>
        <w:t>American Institute of Certified Public Accountants’ Accounting and</w:t>
      </w:r>
      <w:r>
        <w:rPr>
          <w:rFonts w:ascii="Arial" w:cs="Arial" w:eastAsia="Arial" w:hAnsi="Arial"/>
          <w:sz w:val="17"/>
          <w:szCs w:val="17"/>
          <w:color w:val="auto"/>
        </w:rPr>
        <w:t xml:space="preserve"> </w:t>
      </w:r>
      <w:r>
        <w:rPr>
          <w:rFonts w:ascii="Arial" w:cs="Arial" w:eastAsia="Arial" w:hAnsi="Arial"/>
          <w:sz w:val="17"/>
          <w:szCs w:val="17"/>
          <w:i w:val="1"/>
          <w:iCs w:val="1"/>
          <w:color w:val="auto"/>
        </w:rPr>
        <w:t>Valuation Guide, Valuation of Privately-Held-Company Equity Securities Issued as Compensation</w:t>
      </w:r>
      <w:r>
        <w:rPr>
          <w:rFonts w:ascii="Arial" w:cs="Arial" w:eastAsia="Arial" w:hAnsi="Arial"/>
          <w:sz w:val="17"/>
          <w:szCs w:val="17"/>
          <w:color w:val="auto"/>
        </w:rPr>
        <w:t>, including the option pricing method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probability-weighted expected return method. These methodologies required the use of significant management judgment and assumptions.</w:t>
      </w:r>
    </w:p>
    <w:p>
      <w:pPr>
        <w:spacing w:after="0" w:line="171" w:lineRule="exact"/>
        <w:rPr>
          <w:sz w:val="20"/>
          <w:szCs w:val="20"/>
          <w:color w:val="auto"/>
        </w:rPr>
      </w:pPr>
    </w:p>
    <w:p>
      <w:pPr>
        <w:ind w:right="380" w:firstLine="627"/>
        <w:spacing w:after="0" w:line="298" w:lineRule="auto"/>
        <w:rPr>
          <w:sz w:val="20"/>
          <w:szCs w:val="20"/>
          <w:color w:val="auto"/>
        </w:rPr>
      </w:pPr>
      <w:r>
        <w:rPr>
          <w:rFonts w:ascii="Arial" w:cs="Arial" w:eastAsia="Arial" w:hAnsi="Arial"/>
          <w:sz w:val="17"/>
          <w:szCs w:val="17"/>
          <w:color w:val="auto"/>
        </w:rPr>
        <w:t>Since completion of our IPO in February 2025, the fair value of our common stock has been determined based on the closing market price of our common stock on the date of equity grant.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ind w:right="60" w:firstLine="627"/>
        <w:spacing w:after="0" w:line="289"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in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and Smaller Reporting Company Status</w:t>
      </w:r>
    </w:p>
    <w:p>
      <w:pPr>
        <w:spacing w:after="0" w:line="120" w:lineRule="exact"/>
        <w:rPr>
          <w:sz w:val="20"/>
          <w:szCs w:val="20"/>
          <w:color w:val="auto"/>
        </w:rPr>
      </w:pPr>
    </w:p>
    <w:p>
      <w:pPr>
        <w:ind w:firstLine="627"/>
        <w:spacing w:after="0" w:line="26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“emerging growth company.”</w:t>
      </w:r>
    </w:p>
    <w:p>
      <w:pPr>
        <w:spacing w:after="0" w:line="171" w:lineRule="exact"/>
        <w:rPr>
          <w:sz w:val="20"/>
          <w:szCs w:val="20"/>
          <w:color w:val="auto"/>
        </w:rPr>
      </w:pPr>
    </w:p>
    <w:p>
      <w:pPr>
        <w:ind w:right="160" w:firstLine="627"/>
        <w:spacing w:after="0" w:line="26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under the rules of the SEC, which means, among other things, the market value of our common stock that is held by non-affiliates exceeds $700.0 million as of the last business day of our most recently completed second fiscal quarter and (2) the date on which we have issued more than $1.0 billion in non-convertible debt during the prior three-year period.</w:t>
      </w:r>
    </w:p>
    <w:p>
      <w:pPr>
        <w:spacing w:after="0" w:line="170"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for so long as either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0" w:lineRule="exact"/>
        <w:rPr>
          <w:sz w:val="20"/>
          <w:szCs w:val="20"/>
          <w:color w:val="auto"/>
        </w:rPr>
      </w:pPr>
    </w:p>
    <w:p>
      <w:pPr>
        <w:ind w:right="80" w:firstLine="627"/>
        <w:spacing w:after="0" w:line="250" w:lineRule="auto"/>
        <w:rPr>
          <w:sz w:val="20"/>
          <w:szCs w:val="20"/>
          <w:color w:val="auto"/>
        </w:rPr>
      </w:pPr>
      <w:r>
        <w:rPr>
          <w:rFonts w:ascii="Arial" w:cs="Arial" w:eastAsia="Arial" w:hAnsi="Arial"/>
          <w:sz w:val="17"/>
          <w:szCs w:val="17"/>
          <w:color w:val="auto"/>
        </w:rPr>
        <w:t>As a "smaller reporting company," as defined by Rule 12b-2 of the Exchange Act, and pursuant to Item 305 of Regulation S-K we are not required to provide quantitative and qualitative disclosures about market risk</w:t>
      </w:r>
    </w:p>
    <w:p>
      <w:pPr>
        <w:ind w:right="20"/>
        <w:spacing w:after="0" w:line="262" w:lineRule="auto"/>
        <w:rPr>
          <w:sz w:val="20"/>
          <w:szCs w:val="20"/>
          <w:color w:val="auto"/>
        </w:rPr>
      </w:pPr>
      <w:r>
        <w:rPr>
          <w:rFonts w:ascii="Arial" w:cs="Arial" w:eastAsia="Arial" w:hAnsi="Arial"/>
          <w:sz w:val="17"/>
          <w:szCs w:val="17"/>
          <w:color w:val="auto"/>
        </w:rPr>
        <w:t>As a "smaller reporting company," as defined by Rule 12b-2 of the Exchange Act, and pursuant to Item 305 of Regulation S-K we are not required to provide quantitative and qualitative disclosures about market risk.</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95"/>
        </w:trPr>
        <w:tc>
          <w:tcPr>
            <w:tcW w:w="136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9"/>
              </w:rPr>
              <w:t>Table of Contents</w:t>
            </w:r>
          </w:p>
        </w:tc>
        <w:tc>
          <w:tcPr>
            <w:tcW w:w="7900" w:type="dxa"/>
            <w:vAlign w:val="bottom"/>
            <w:gridSpan w:val="7"/>
          </w:tcPr>
          <w:p>
            <w:pPr>
              <w:spacing w:after="0"/>
              <w:rPr>
                <w:sz w:val="16"/>
                <w:szCs w:val="16"/>
                <w:color w:val="auto"/>
              </w:rPr>
            </w:pPr>
          </w:p>
        </w:tc>
        <w:tc>
          <w:tcPr>
            <w:tcW w:w="1980" w:type="dxa"/>
            <w:vAlign w:val="bottom"/>
          </w:tcPr>
          <w:p>
            <w:pPr>
              <w:spacing w:after="0"/>
              <w:rPr>
                <w:sz w:val="16"/>
                <w:szCs w:val="16"/>
                <w:color w:val="auto"/>
              </w:rPr>
            </w:pPr>
          </w:p>
        </w:tc>
      </w:tr>
      <w:tr>
        <w:trPr>
          <w:trHeight w:val="1023"/>
        </w:trPr>
        <w:tc>
          <w:tcPr>
            <w:tcW w:w="9260" w:type="dxa"/>
            <w:vAlign w:val="bottom"/>
            <w:gridSpan w:val="9"/>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9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60" w:type="dxa"/>
            <w:vAlign w:val="bottom"/>
            <w:gridSpan w:val="4"/>
          </w:tcPr>
          <w:p>
            <w:pPr>
              <w:jc w:val="center"/>
              <w:ind w:right="1420"/>
              <w:spacing w:after="0"/>
              <w:rPr>
                <w:sz w:val="20"/>
                <w:szCs w:val="20"/>
                <w:color w:val="auto"/>
              </w:rPr>
            </w:pPr>
            <w:r>
              <w:rPr>
                <w:rFonts w:ascii="Arial" w:cs="Arial" w:eastAsia="Arial" w:hAnsi="Arial"/>
                <w:sz w:val="17"/>
                <w:szCs w:val="17"/>
                <w:b w:val="1"/>
                <w:bCs w:val="1"/>
                <w:color w:val="auto"/>
              </w:rPr>
              <w:t>INDEX TO CONSOLIDATED FINANCIAL STATEMENTS</w:t>
            </w:r>
          </w:p>
        </w:tc>
        <w:tc>
          <w:tcPr>
            <w:tcW w:w="1980" w:type="dxa"/>
            <w:vAlign w:val="bottom"/>
          </w:tcPr>
          <w:p>
            <w:pPr>
              <w:spacing w:after="0"/>
              <w:rPr>
                <w:sz w:val="24"/>
                <w:szCs w:val="24"/>
                <w:color w:val="auto"/>
              </w:rPr>
            </w:pPr>
          </w:p>
        </w:tc>
      </w:tr>
      <w:tr>
        <w:trPr>
          <w:trHeight w:val="418"/>
        </w:trPr>
        <w:tc>
          <w:tcPr>
            <w:tcW w:w="9260" w:type="dxa"/>
            <w:vAlign w:val="bottom"/>
            <w:gridSpan w:val="9"/>
          </w:tcPr>
          <w:p>
            <w:pPr>
              <w:spacing w:after="0"/>
              <w:rPr>
                <w:sz w:val="20"/>
                <w:szCs w:val="20"/>
                <w:color w:val="auto"/>
              </w:rPr>
            </w:pPr>
            <w:r>
              <w:rPr>
                <w:rFonts w:ascii="Arial" w:cs="Arial" w:eastAsia="Arial" w:hAnsi="Arial"/>
                <w:sz w:val="17"/>
                <w:szCs w:val="17"/>
                <w:b w:val="1"/>
                <w:bCs w:val="1"/>
                <w:color w:val="auto"/>
              </w:rPr>
              <w:t>Consolidated Financial Statements for the Years Ended December 31, 2025 and 2024:</w:t>
            </w:r>
          </w:p>
        </w:tc>
        <w:tc>
          <w:tcPr>
            <w:tcW w:w="198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9240" w:type="dxa"/>
            <w:vAlign w:val="bottom"/>
            <w:gridSpan w:val="8"/>
          </w:tcPr>
          <w:p>
            <w:pPr>
              <w:spacing w:after="0"/>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No. 34)</w:t>
            </w:r>
          </w:p>
        </w:tc>
        <w:tc>
          <w:tcPr>
            <w:tcW w:w="1980" w:type="dxa"/>
            <w:vAlign w:val="bottom"/>
          </w:tcPr>
          <w:p>
            <w:pPr>
              <w:ind w:left="1400"/>
              <w:spacing w:after="0"/>
              <w:rPr>
                <w:sz w:val="20"/>
                <w:szCs w:val="20"/>
                <w:color w:val="auto"/>
              </w:rPr>
            </w:pPr>
            <w:r>
              <w:rPr>
                <w:rFonts w:ascii="Arial" w:cs="Arial" w:eastAsia="Arial" w:hAnsi="Arial"/>
                <w:sz w:val="17"/>
                <w:szCs w:val="17"/>
                <w:color w:val="auto"/>
              </w:rPr>
              <w:t>F-2</w:t>
            </w:r>
          </w:p>
        </w:tc>
      </w:tr>
      <w:tr>
        <w:trPr>
          <w:trHeight w:val="345"/>
        </w:trPr>
        <w:tc>
          <w:tcPr>
            <w:tcW w:w="20" w:type="dxa"/>
            <w:vAlign w:val="bottom"/>
          </w:tcPr>
          <w:p>
            <w:pPr>
              <w:spacing w:after="0"/>
              <w:rPr>
                <w:sz w:val="24"/>
                <w:szCs w:val="24"/>
                <w:color w:val="auto"/>
              </w:rPr>
            </w:pPr>
          </w:p>
        </w:tc>
        <w:tc>
          <w:tcPr>
            <w:tcW w:w="446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Consolidated Balance Sheets</w:t>
            </w:r>
          </w:p>
        </w:tc>
        <w:tc>
          <w:tcPr>
            <w:tcW w:w="4780" w:type="dxa"/>
            <w:vAlign w:val="bottom"/>
            <w:gridSpan w:val="3"/>
          </w:tcPr>
          <w:p>
            <w:pPr>
              <w:spacing w:after="0"/>
              <w:rPr>
                <w:sz w:val="24"/>
                <w:szCs w:val="24"/>
                <w:color w:val="auto"/>
              </w:rPr>
            </w:pPr>
          </w:p>
        </w:tc>
        <w:tc>
          <w:tcPr>
            <w:tcW w:w="1980" w:type="dxa"/>
            <w:vAlign w:val="bottom"/>
          </w:tcPr>
          <w:p>
            <w:pPr>
              <w:ind w:left="1400"/>
              <w:spacing w:after="0"/>
              <w:rPr>
                <w:sz w:val="20"/>
                <w:szCs w:val="20"/>
                <w:color w:val="auto"/>
              </w:rPr>
            </w:pPr>
            <w:r>
              <w:rPr>
                <w:rFonts w:ascii="Arial" w:cs="Arial" w:eastAsia="Arial" w:hAnsi="Arial"/>
                <w:sz w:val="17"/>
                <w:szCs w:val="17"/>
                <w:color w:val="auto"/>
              </w:rPr>
              <w:t>F-3</w:t>
            </w:r>
          </w:p>
        </w:tc>
      </w:tr>
      <w:tr>
        <w:trPr>
          <w:trHeight w:val="20"/>
        </w:trPr>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06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Operations and Comprehensive Loss</w:t>
            </w:r>
          </w:p>
        </w:tc>
        <w:tc>
          <w:tcPr>
            <w:tcW w:w="4180" w:type="dxa"/>
            <w:vAlign w:val="bottom"/>
            <w:gridSpan w:val="2"/>
          </w:tcPr>
          <w:p>
            <w:pPr>
              <w:spacing w:after="0"/>
              <w:rPr>
                <w:sz w:val="24"/>
                <w:szCs w:val="24"/>
                <w:color w:val="auto"/>
              </w:rPr>
            </w:pPr>
          </w:p>
        </w:tc>
        <w:tc>
          <w:tcPr>
            <w:tcW w:w="1980" w:type="dxa"/>
            <w:vAlign w:val="bottom"/>
          </w:tcPr>
          <w:p>
            <w:pPr>
              <w:ind w:left="1400"/>
              <w:spacing w:after="0"/>
              <w:rPr>
                <w:sz w:val="20"/>
                <w:szCs w:val="20"/>
                <w:color w:val="auto"/>
              </w:rPr>
            </w:pPr>
            <w:r>
              <w:rPr>
                <w:rFonts w:ascii="Arial" w:cs="Arial" w:eastAsia="Arial" w:hAnsi="Arial"/>
                <w:sz w:val="17"/>
                <w:szCs w:val="17"/>
                <w:color w:val="auto"/>
              </w:rPr>
              <w:t>F-4</w:t>
            </w:r>
          </w:p>
        </w:tc>
      </w:tr>
      <w:tr>
        <w:trPr>
          <w:trHeight w:val="346"/>
        </w:trPr>
        <w:tc>
          <w:tcPr>
            <w:tcW w:w="20" w:type="dxa"/>
            <w:vAlign w:val="bottom"/>
          </w:tcPr>
          <w:p>
            <w:pPr>
              <w:spacing w:after="0"/>
              <w:rPr>
                <w:sz w:val="24"/>
                <w:szCs w:val="24"/>
                <w:color w:val="auto"/>
              </w:rPr>
            </w:pPr>
          </w:p>
        </w:tc>
        <w:tc>
          <w:tcPr>
            <w:tcW w:w="9240" w:type="dxa"/>
            <w:vAlign w:val="bottom"/>
            <w:gridSpan w:val="8"/>
          </w:tcPr>
          <w:p>
            <w:pPr>
              <w:spacing w:after="0"/>
              <w:rPr>
                <w:sz w:val="20"/>
                <w:szCs w:val="20"/>
                <w:color w:val="auto"/>
              </w:rPr>
            </w:pPr>
            <w:r>
              <w:rPr>
                <w:rFonts w:ascii="Arial" w:cs="Arial" w:eastAsia="Arial" w:hAnsi="Arial"/>
                <w:sz w:val="17"/>
                <w:szCs w:val="17"/>
                <w:color w:val="0000FF"/>
              </w:rPr>
              <w:t>Consolidated Statements of Convertible Preferred Stock and Stockholders’ Equity (Deficit</w:t>
            </w:r>
            <w:r>
              <w:rPr>
                <w:rFonts w:ascii="Arial" w:cs="Arial" w:eastAsia="Arial" w:hAnsi="Arial"/>
                <w:sz w:val="17"/>
                <w:szCs w:val="17"/>
                <w:color w:val="000000"/>
              </w:rPr>
              <w:t>)</w:t>
            </w:r>
          </w:p>
        </w:tc>
        <w:tc>
          <w:tcPr>
            <w:tcW w:w="1980" w:type="dxa"/>
            <w:vAlign w:val="bottom"/>
          </w:tcPr>
          <w:p>
            <w:pPr>
              <w:ind w:left="1400"/>
              <w:spacing w:after="0"/>
              <w:rPr>
                <w:sz w:val="20"/>
                <w:szCs w:val="20"/>
                <w:color w:val="auto"/>
              </w:rPr>
            </w:pPr>
            <w:r>
              <w:rPr>
                <w:rFonts w:ascii="Arial" w:cs="Arial" w:eastAsia="Arial" w:hAnsi="Arial"/>
                <w:sz w:val="17"/>
                <w:szCs w:val="17"/>
                <w:color w:val="auto"/>
              </w:rPr>
              <w:t>F-5</w:t>
            </w:r>
          </w:p>
        </w:tc>
      </w:tr>
      <w:tr>
        <w:trPr>
          <w:trHeight w:val="345"/>
        </w:trPr>
        <w:tc>
          <w:tcPr>
            <w:tcW w:w="20" w:type="dxa"/>
            <w:vAlign w:val="bottom"/>
          </w:tcPr>
          <w:p>
            <w:pPr>
              <w:spacing w:after="0"/>
              <w:rPr>
                <w:sz w:val="24"/>
                <w:szCs w:val="24"/>
                <w:color w:val="auto"/>
              </w:rPr>
            </w:pPr>
          </w:p>
        </w:tc>
        <w:tc>
          <w:tcPr>
            <w:tcW w:w="31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rPr>
              <w:t>Consolidated Statements of Cash Flows</w:t>
            </w:r>
          </w:p>
        </w:tc>
        <w:tc>
          <w:tcPr>
            <w:tcW w:w="3780" w:type="dxa"/>
            <w:vAlign w:val="bottom"/>
            <w:tcBorders>
              <w:top w:val="single" w:sz="8" w:color="0000FF"/>
            </w:tcBorders>
            <w:gridSpan w:val="4"/>
          </w:tcPr>
          <w:p>
            <w:pPr>
              <w:spacing w:after="0"/>
              <w:rPr>
                <w:sz w:val="24"/>
                <w:szCs w:val="24"/>
                <w:color w:val="auto"/>
              </w:rPr>
            </w:pPr>
          </w:p>
        </w:tc>
        <w:tc>
          <w:tcPr>
            <w:tcW w:w="2360" w:type="dxa"/>
            <w:vAlign w:val="bottom"/>
          </w:tcPr>
          <w:p>
            <w:pPr>
              <w:spacing w:after="0"/>
              <w:rPr>
                <w:sz w:val="24"/>
                <w:szCs w:val="24"/>
                <w:color w:val="auto"/>
              </w:rPr>
            </w:pPr>
          </w:p>
        </w:tc>
        <w:tc>
          <w:tcPr>
            <w:tcW w:w="1980" w:type="dxa"/>
            <w:vAlign w:val="bottom"/>
          </w:tcPr>
          <w:p>
            <w:pPr>
              <w:ind w:left="1400"/>
              <w:spacing w:after="0"/>
              <w:rPr>
                <w:sz w:val="20"/>
                <w:szCs w:val="20"/>
                <w:color w:val="auto"/>
              </w:rPr>
            </w:pPr>
            <w:r>
              <w:rPr>
                <w:rFonts w:ascii="Arial" w:cs="Arial" w:eastAsia="Arial" w:hAnsi="Arial"/>
                <w:sz w:val="17"/>
                <w:szCs w:val="17"/>
                <w:color w:val="auto"/>
              </w:rPr>
              <w:t>F-6</w:t>
            </w:r>
          </w:p>
        </w:tc>
      </w:tr>
      <w:tr>
        <w:trPr>
          <w:trHeight w:val="346"/>
        </w:trPr>
        <w:tc>
          <w:tcPr>
            <w:tcW w:w="20" w:type="dxa"/>
            <w:vAlign w:val="bottom"/>
          </w:tcPr>
          <w:p>
            <w:pPr>
              <w:spacing w:after="0"/>
              <w:rPr>
                <w:sz w:val="24"/>
                <w:szCs w:val="24"/>
                <w:color w:val="auto"/>
              </w:rPr>
            </w:pPr>
          </w:p>
        </w:tc>
        <w:tc>
          <w:tcPr>
            <w:tcW w:w="9240" w:type="dxa"/>
            <w:vAlign w:val="bottom"/>
            <w:gridSpan w:val="8"/>
          </w:tcPr>
          <w:p>
            <w:pPr>
              <w:spacing w:after="0"/>
              <w:rPr>
                <w:sz w:val="20"/>
                <w:szCs w:val="20"/>
                <w:color w:val="auto"/>
              </w:rPr>
            </w:pPr>
            <w:r>
              <w:rPr>
                <w:rFonts w:ascii="Arial" w:cs="Arial" w:eastAsia="Arial" w:hAnsi="Arial"/>
                <w:sz w:val="17"/>
                <w:szCs w:val="17"/>
                <w:color w:val="0000FF"/>
              </w:rPr>
              <w:t>Notes to Consolidated Financial Statements</w:t>
            </w:r>
          </w:p>
        </w:tc>
        <w:tc>
          <w:tcPr>
            <w:tcW w:w="1980" w:type="dxa"/>
            <w:vAlign w:val="bottom"/>
          </w:tcPr>
          <w:p>
            <w:pPr>
              <w:ind w:left="1400"/>
              <w:spacing w:after="0"/>
              <w:rPr>
                <w:sz w:val="20"/>
                <w:szCs w:val="20"/>
                <w:color w:val="auto"/>
              </w:rPr>
            </w:pPr>
            <w:r>
              <w:rPr>
                <w:rFonts w:ascii="Arial" w:cs="Arial" w:eastAsia="Arial" w:hAnsi="Arial"/>
                <w:sz w:val="17"/>
                <w:szCs w:val="17"/>
                <w:color w:val="auto"/>
              </w:rPr>
              <w:t>F-7</w:t>
            </w:r>
          </w:p>
        </w:tc>
      </w:tr>
      <w:tr>
        <w:trPr>
          <w:trHeight w:val="924"/>
        </w:trPr>
        <w:tc>
          <w:tcPr>
            <w:tcW w:w="20" w:type="dxa"/>
            <w:vAlign w:val="bottom"/>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80" w:type="dxa"/>
            <w:vAlign w:val="bottom"/>
            <w:gridSpan w:val="2"/>
          </w:tcPr>
          <w:p>
            <w:pPr>
              <w:jc w:val="center"/>
              <w:ind w:right="3080"/>
              <w:spacing w:after="0"/>
              <w:rPr>
                <w:sz w:val="20"/>
                <w:szCs w:val="20"/>
                <w:color w:val="auto"/>
              </w:rPr>
            </w:pPr>
            <w:r>
              <w:rPr>
                <w:rFonts w:ascii="Arial" w:cs="Arial" w:eastAsia="Arial" w:hAnsi="Arial"/>
                <w:sz w:val="17"/>
                <w:szCs w:val="17"/>
                <w:color w:val="auto"/>
              </w:rPr>
              <w:t>F-1</w:t>
            </w:r>
          </w:p>
        </w:tc>
        <w:tc>
          <w:tcPr>
            <w:tcW w:w="1980" w:type="dxa"/>
            <w:vAlign w:val="bottom"/>
          </w:tcPr>
          <w:p>
            <w:pPr>
              <w:spacing w:after="0"/>
              <w:rPr>
                <w:sz w:val="24"/>
                <w:szCs w:val="24"/>
                <w:color w:val="auto"/>
              </w:rPr>
            </w:pPr>
          </w:p>
        </w:tc>
      </w:tr>
      <w:tr>
        <w:trPr>
          <w:trHeight w:val="316"/>
        </w:trPr>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Sionna Therapeutics, Inc.</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We have audited the accompanying consolidated balance sheets of Sionna Therapeutics, Inc., and subsidiary (the "Company") as of December 31, 2025 and 2024, the related consolidated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March 2, 2026</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SIONNA THERAPEUTICS,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CONSOLIDATED BALANCE SHEETS</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(in thousands, except share and per share data)</w:t>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199"/>
        </w:trPr>
        <w:tc>
          <w:tcPr>
            <w:tcW w:w="8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58,451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37,788</w:t>
            </w:r>
          </w:p>
        </w:tc>
        <w:tc>
          <w:tcPr>
            <w:tcW w:w="0" w:type="dxa"/>
            <w:vAlign w:val="bottom"/>
          </w:tcPr>
          <w:p>
            <w:pPr>
              <w:spacing w:after="0"/>
              <w:rPr>
                <w:sz w:val="1"/>
                <w:szCs w:val="1"/>
                <w:color w:val="auto"/>
              </w:rPr>
            </w:pPr>
          </w:p>
        </w:tc>
      </w:tr>
      <w:tr>
        <w:trPr>
          <w:trHeight w:val="227"/>
        </w:trPr>
        <w:tc>
          <w:tcPr>
            <w:tcW w:w="8220" w:type="dxa"/>
            <w:vAlign w:val="bottom"/>
          </w:tcPr>
          <w:p>
            <w:pPr>
              <w:ind w:left="340"/>
              <w:spacing w:after="0"/>
              <w:rPr>
                <w:sz w:val="20"/>
                <w:szCs w:val="20"/>
                <w:color w:val="auto"/>
              </w:rPr>
            </w:pPr>
            <w:r>
              <w:rPr>
                <w:rFonts w:ascii="Arial" w:cs="Arial" w:eastAsia="Arial" w:hAnsi="Arial"/>
                <w:sz w:val="16"/>
                <w:szCs w:val="16"/>
                <w:color w:val="auto"/>
              </w:rPr>
              <w:t>Marketable securities, current</w:t>
            </w: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177,431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109,750</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5,537</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27"/>
        </w:trPr>
        <w:tc>
          <w:tcPr>
            <w:tcW w:w="822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241,419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150,993</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227"/>
        </w:trPr>
        <w:tc>
          <w:tcPr>
            <w:tcW w:w="8220" w:type="dxa"/>
            <w:vAlign w:val="bottom"/>
          </w:tcPr>
          <w:p>
            <w:pPr>
              <w:ind w:left="20"/>
              <w:spacing w:after="0"/>
              <w:rPr>
                <w:sz w:val="20"/>
                <w:szCs w:val="20"/>
                <w:color w:val="auto"/>
              </w:rPr>
            </w:pPr>
            <w:r>
              <w:rPr>
                <w:rFonts w:ascii="Arial" w:cs="Arial" w:eastAsia="Arial" w:hAnsi="Arial"/>
                <w:sz w:val="16"/>
                <w:szCs w:val="16"/>
                <w:color w:val="auto"/>
              </w:rPr>
              <w:t>Marketable securities, noncurrent</w:t>
            </w: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74,420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20,505</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27"/>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6,926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7,832</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2,994</w:t>
            </w:r>
          </w:p>
        </w:tc>
        <w:tc>
          <w:tcPr>
            <w:tcW w:w="0" w:type="dxa"/>
            <w:vAlign w:val="bottom"/>
          </w:tcPr>
          <w:p>
            <w:pPr>
              <w:spacing w:after="0"/>
              <w:rPr>
                <w:sz w:val="1"/>
                <w:szCs w:val="1"/>
                <w:color w:val="auto"/>
              </w:rPr>
            </w:pPr>
          </w:p>
        </w:tc>
      </w:tr>
      <w:tr>
        <w:trPr>
          <w:trHeight w:val="235"/>
        </w:trPr>
        <w:tc>
          <w:tcPr>
            <w:tcW w:w="8220" w:type="dxa"/>
            <w:vAlign w:val="bottom"/>
          </w:tcPr>
          <w:p>
            <w:pPr>
              <w:ind w:left="640"/>
              <w:spacing w:after="0"/>
              <w:rPr>
                <w:sz w:val="20"/>
                <w:szCs w:val="20"/>
                <w:color w:val="auto"/>
              </w:rPr>
            </w:pPr>
            <w:r>
              <w:rPr>
                <w:rFonts w:ascii="Arial" w:cs="Arial" w:eastAsia="Arial" w:hAnsi="Arial"/>
                <w:sz w:val="16"/>
                <w:szCs w:val="16"/>
                <w:color w:val="auto"/>
              </w:rPr>
              <w:t>Total assets</w:t>
            </w: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325,953</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185,752</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27"/>
        </w:trPr>
        <w:tc>
          <w:tcPr>
            <w:tcW w:w="822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9,668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8,162</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current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239"/>
        </w:trPr>
        <w:tc>
          <w:tcPr>
            <w:tcW w:w="8220" w:type="dxa"/>
            <w:vAlign w:val="bottom"/>
          </w:tcPr>
          <w:p>
            <w:pPr>
              <w:ind w:left="340"/>
              <w:spacing w:after="0"/>
              <w:rPr>
                <w:sz w:val="20"/>
                <w:szCs w:val="20"/>
                <w:color w:val="auto"/>
              </w:rPr>
            </w:pPr>
            <w:r>
              <w:rPr>
                <w:rFonts w:ascii="Arial" w:cs="Arial" w:eastAsia="Arial" w:hAnsi="Arial"/>
                <w:sz w:val="17"/>
                <w:szCs w:val="17"/>
                <w:color w:val="auto"/>
              </w:rPr>
              <w:t>Other current liabilities</w:t>
            </w:r>
          </w:p>
        </w:tc>
        <w:tc>
          <w:tcPr>
            <w:tcW w:w="32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11,712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10,420</w:t>
            </w: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liability, noncurrent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7,408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8,677</w:t>
            </w:r>
          </w:p>
        </w:tc>
        <w:tc>
          <w:tcPr>
            <w:tcW w:w="0" w:type="dxa"/>
            <w:vAlign w:val="bottom"/>
          </w:tcPr>
          <w:p>
            <w:pPr>
              <w:spacing w:after="0"/>
              <w:rPr>
                <w:sz w:val="1"/>
                <w:szCs w:val="1"/>
                <w:color w:val="auto"/>
              </w:rPr>
            </w:pPr>
          </w:p>
        </w:tc>
      </w:tr>
      <w:tr>
        <w:trPr>
          <w:trHeight w:val="235"/>
        </w:trPr>
        <w:tc>
          <w:tcPr>
            <w:tcW w:w="8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19,120</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19,097</w:t>
            </w:r>
          </w:p>
        </w:tc>
        <w:tc>
          <w:tcPr>
            <w:tcW w:w="0" w:type="dxa"/>
            <w:vAlign w:val="bottom"/>
          </w:tcPr>
          <w:p>
            <w:pPr>
              <w:spacing w:after="0"/>
              <w:rPr>
                <w:sz w:val="1"/>
                <w:szCs w:val="1"/>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Seed convertible preferred stock, $0.001 par value, no shares and 3,963,963 shares authorized, issued and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2025 and December 31, 2024, respectively</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13,014</w:t>
            </w:r>
          </w:p>
        </w:tc>
        <w:tc>
          <w:tcPr>
            <w:tcW w:w="0" w:type="dxa"/>
            <w:vAlign w:val="bottom"/>
          </w:tcPr>
          <w:p>
            <w:pPr>
              <w:spacing w:after="0"/>
              <w:rPr>
                <w:sz w:val="1"/>
                <w:szCs w:val="1"/>
                <w:color w:val="auto"/>
              </w:rPr>
            </w:pPr>
          </w:p>
        </w:tc>
      </w:tr>
      <w:tr>
        <w:trPr>
          <w:trHeight w:val="197"/>
        </w:trPr>
        <w:tc>
          <w:tcPr>
            <w:tcW w:w="8220" w:type="dxa"/>
            <w:vAlign w:val="bottom"/>
          </w:tcPr>
          <w:p>
            <w:pPr>
              <w:ind w:left="20"/>
              <w:spacing w:after="0"/>
              <w:rPr>
                <w:sz w:val="20"/>
                <w:szCs w:val="20"/>
                <w:color w:val="auto"/>
              </w:rPr>
            </w:pPr>
            <w:r>
              <w:rPr>
                <w:rFonts w:ascii="Arial" w:cs="Arial" w:eastAsia="Arial" w:hAnsi="Arial"/>
                <w:sz w:val="16"/>
                <w:szCs w:val="16"/>
                <w:color w:val="auto"/>
              </w:rPr>
              <w:t>Series A convertible preferred stock, $0.001 par value, no shares and 5,704,161 shares authorized, issued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220" w:type="dxa"/>
            <w:vAlign w:val="bottom"/>
          </w:tcPr>
          <w:p>
            <w:pPr>
              <w:ind w:left="20"/>
              <w:spacing w:after="0"/>
              <w:rPr>
                <w:sz w:val="20"/>
                <w:szCs w:val="20"/>
                <w:color w:val="auto"/>
              </w:rPr>
            </w:pPr>
            <w:r>
              <w:rPr>
                <w:rFonts w:ascii="Arial" w:cs="Arial" w:eastAsia="Arial" w:hAnsi="Arial"/>
                <w:sz w:val="16"/>
                <w:szCs w:val="16"/>
                <w:color w:val="auto"/>
              </w:rPr>
              <w:t>outstanding as of December 31, 2025 and December 31, 2024, respectively</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25,235</w:t>
            </w:r>
          </w:p>
        </w:tc>
        <w:tc>
          <w:tcPr>
            <w:tcW w:w="0" w:type="dxa"/>
            <w:vAlign w:val="bottom"/>
          </w:tcPr>
          <w:p>
            <w:pPr>
              <w:spacing w:after="0"/>
              <w:rPr>
                <w:sz w:val="1"/>
                <w:szCs w:val="1"/>
                <w:color w:val="auto"/>
              </w:rPr>
            </w:pPr>
          </w:p>
        </w:tc>
      </w:tr>
      <w:tr>
        <w:trPr>
          <w:trHeight w:val="20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convertible preferred stock, $0.001 par value, no shares and 11,370,621 shares authorized, issued and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2025 and December 31, 2024, respectively</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110,791</w:t>
            </w:r>
          </w:p>
        </w:tc>
        <w:tc>
          <w:tcPr>
            <w:tcW w:w="0" w:type="dxa"/>
            <w:vAlign w:val="bottom"/>
          </w:tcPr>
          <w:p>
            <w:pPr>
              <w:spacing w:after="0"/>
              <w:rPr>
                <w:sz w:val="1"/>
                <w:szCs w:val="1"/>
                <w:color w:val="auto"/>
              </w:rPr>
            </w:pPr>
          </w:p>
        </w:tc>
      </w:tr>
      <w:tr>
        <w:trPr>
          <w:trHeight w:val="197"/>
        </w:trPr>
        <w:tc>
          <w:tcPr>
            <w:tcW w:w="8220" w:type="dxa"/>
            <w:vAlign w:val="bottom"/>
          </w:tcPr>
          <w:p>
            <w:pPr>
              <w:ind w:left="20"/>
              <w:spacing w:after="0"/>
              <w:rPr>
                <w:sz w:val="20"/>
                <w:szCs w:val="20"/>
                <w:color w:val="auto"/>
              </w:rPr>
            </w:pPr>
            <w:r>
              <w:rPr>
                <w:rFonts w:ascii="Arial" w:cs="Arial" w:eastAsia="Arial" w:hAnsi="Arial"/>
                <w:sz w:val="16"/>
                <w:szCs w:val="16"/>
                <w:color w:val="auto"/>
              </w:rPr>
              <w:t>Series C convertible preferred stock, $0.001 par value, no shares and 18,628,970 shares authorized, issued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outstanding as of December 31, 2025 and December 31, 2024, respectively</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181,328</w:t>
            </w:r>
          </w:p>
        </w:tc>
        <w:tc>
          <w:tcPr>
            <w:tcW w:w="0" w:type="dxa"/>
            <w:vAlign w:val="bottom"/>
          </w:tcPr>
          <w:p>
            <w:pPr>
              <w:spacing w:after="0"/>
              <w:rPr>
                <w:sz w:val="1"/>
                <w:szCs w:val="1"/>
                <w:color w:val="auto"/>
              </w:rPr>
            </w:pPr>
          </w:p>
        </w:tc>
      </w:tr>
      <w:tr>
        <w:trPr>
          <w:trHeight w:val="235"/>
        </w:trPr>
        <w:tc>
          <w:tcPr>
            <w:tcW w:w="8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convertible preferred stock</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330,368</w:t>
            </w:r>
          </w:p>
        </w:tc>
        <w:tc>
          <w:tcPr>
            <w:tcW w:w="0" w:type="dxa"/>
            <w:vAlign w:val="bottom"/>
          </w:tcPr>
          <w:p>
            <w:pPr>
              <w:spacing w:after="0"/>
              <w:rPr>
                <w:sz w:val="1"/>
                <w:szCs w:val="1"/>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 (deficit):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stock, $0.001 par value, 10,000,000 and no shares authorized as of December 31, 2025 and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December 31, 2024, respectively; no shares issued or outstanding as of December 31, 2025 and December 31,</w:t>
            </w:r>
          </w:p>
        </w:tc>
        <w:tc>
          <w:tcPr>
            <w:tcW w:w="3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2024</w:t>
            </w:r>
          </w:p>
        </w:tc>
        <w:tc>
          <w:tcPr>
            <w:tcW w:w="3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20" w:type="dxa"/>
            <w:vAlign w:val="bottom"/>
          </w:tcPr>
          <w:p>
            <w:pPr>
              <w:ind w:left="340"/>
              <w:spacing w:after="0"/>
              <w:rPr>
                <w:sz w:val="20"/>
                <w:szCs w:val="20"/>
                <w:color w:val="auto"/>
              </w:rPr>
            </w:pPr>
            <w:r>
              <w:rPr>
                <w:rFonts w:ascii="Arial" w:cs="Arial" w:eastAsia="Arial" w:hAnsi="Arial"/>
                <w:sz w:val="16"/>
                <w:szCs w:val="16"/>
                <w:color w:val="auto"/>
                <w:w w:val="98"/>
              </w:rPr>
              <w:t>Common stock, $0.001 par value, 500,000,000 and 55,200,000 shares authorized as of December 31, 2025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340"/>
              <w:spacing w:after="0"/>
              <w:rPr>
                <w:sz w:val="20"/>
                <w:szCs w:val="20"/>
                <w:color w:val="auto"/>
              </w:rPr>
            </w:pPr>
            <w:r>
              <w:rPr>
                <w:rFonts w:ascii="Arial" w:cs="Arial" w:eastAsia="Arial" w:hAnsi="Arial"/>
                <w:sz w:val="16"/>
                <w:szCs w:val="16"/>
                <w:color w:val="auto"/>
              </w:rPr>
              <w:t>December 31, 2024, respectively; 44,723,585 and 4,798,721 shares issued, 44,723,585 and 4,722,763 shares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40"/>
              <w:spacing w:after="0"/>
              <w:rPr>
                <w:sz w:val="20"/>
                <w:szCs w:val="20"/>
                <w:color w:val="auto"/>
              </w:rPr>
            </w:pPr>
            <w:r>
              <w:rPr>
                <w:rFonts w:ascii="Arial" w:cs="Arial" w:eastAsia="Arial" w:hAnsi="Arial"/>
                <w:sz w:val="16"/>
                <w:szCs w:val="16"/>
                <w:color w:val="auto"/>
              </w:rPr>
              <w:t>outstanding as of December 31, 2025 and December 31, 2024, respectively</w:t>
            </w: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562,602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17,000</w:t>
            </w:r>
          </w:p>
        </w:tc>
        <w:tc>
          <w:tcPr>
            <w:tcW w:w="0" w:type="dxa"/>
            <w:vAlign w:val="bottom"/>
          </w:tcPr>
          <w:p>
            <w:pPr>
              <w:spacing w:after="0"/>
              <w:rPr>
                <w:sz w:val="1"/>
                <w:szCs w:val="1"/>
                <w:color w:val="auto"/>
              </w:rPr>
            </w:pPr>
          </w:p>
        </w:tc>
      </w:tr>
      <w:tr>
        <w:trPr>
          <w:trHeight w:val="227"/>
        </w:trPr>
        <w:tc>
          <w:tcPr>
            <w:tcW w:w="822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(256,354)</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(181,086)</w:t>
            </w: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stockholders’ equity (deficit)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306,833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(163,713)</w:t>
            </w:r>
          </w:p>
        </w:tc>
        <w:tc>
          <w:tcPr>
            <w:tcW w:w="0" w:type="dxa"/>
            <w:vAlign w:val="bottom"/>
          </w:tcPr>
          <w:p>
            <w:pPr>
              <w:spacing w:after="0"/>
              <w:rPr>
                <w:sz w:val="1"/>
                <w:szCs w:val="1"/>
                <w:color w:val="auto"/>
              </w:rPr>
            </w:pPr>
          </w:p>
        </w:tc>
      </w:tr>
      <w:tr>
        <w:trPr>
          <w:trHeight w:val="260"/>
        </w:trPr>
        <w:tc>
          <w:tcPr>
            <w:tcW w:w="82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325,953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185,752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254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SIONNA THERAPEUTICS,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 Ended December 31,</w:t>
            </w:r>
          </w:p>
        </w:tc>
      </w:tr>
      <w:tr>
        <w:trPr>
          <w:trHeight w:val="215"/>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r>
      <w:tr>
        <w:trPr>
          <w:trHeight w:val="22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9"/>
        </w:trPr>
        <w:tc>
          <w:tcPr>
            <w:tcW w:w="8140" w:type="dxa"/>
            <w:vAlign w:val="bottom"/>
          </w:tcPr>
          <w:p>
            <w:pPr>
              <w:ind w:left="42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60,263</w:t>
            </w:r>
          </w:p>
        </w:tc>
        <w:tc>
          <w:tcPr>
            <w:tcW w:w="8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57,288</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28,719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13,268</w:t>
            </w:r>
          </w:p>
        </w:tc>
      </w:tr>
      <w:tr>
        <w:trPr>
          <w:trHeight w:val="232"/>
        </w:trPr>
        <w:tc>
          <w:tcPr>
            <w:tcW w:w="8140" w:type="dxa"/>
            <w:vAlign w:val="bottom"/>
          </w:tcPr>
          <w:p>
            <w:pPr>
              <w:ind w:left="120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88,982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70,556</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(88,982)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(70,556)</w:t>
            </w: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Other income: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Interest income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13,295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8,170</w:t>
            </w:r>
          </w:p>
        </w:tc>
      </w:tr>
      <w:tr>
        <w:trPr>
          <w:trHeight w:val="239"/>
        </w:trPr>
        <w:tc>
          <w:tcPr>
            <w:tcW w:w="8140" w:type="dxa"/>
            <w:vAlign w:val="bottom"/>
          </w:tcPr>
          <w:p>
            <w:pPr>
              <w:ind w:left="420"/>
              <w:spacing w:after="0"/>
              <w:rPr>
                <w:sz w:val="20"/>
                <w:szCs w:val="20"/>
                <w:color w:val="auto"/>
              </w:rPr>
            </w:pPr>
            <w:r>
              <w:rPr>
                <w:rFonts w:ascii="Arial" w:cs="Arial" w:eastAsia="Arial" w:hAnsi="Arial"/>
                <w:sz w:val="17"/>
                <w:szCs w:val="17"/>
                <w:color w:val="auto"/>
              </w:rPr>
              <w:t>Other income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698</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4"/>
        </w:trPr>
        <w:tc>
          <w:tcPr>
            <w:tcW w:w="81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Total other income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13,714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8,868</w:t>
            </w:r>
          </w:p>
        </w:tc>
      </w:tr>
      <w:tr>
        <w:trPr>
          <w:trHeight w:val="254"/>
        </w:trPr>
        <w:tc>
          <w:tcPr>
            <w:tcW w:w="81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(75,268)</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(61,688)</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basic and diluted</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3"/>
        </w:trPr>
        <w:tc>
          <w:tcPr>
            <w:tcW w:w="8140" w:type="dxa"/>
            <w:vAlign w:val="bottom"/>
          </w:tcPr>
          <w:p>
            <w:pPr>
              <w:ind w:left="20"/>
              <w:spacing w:after="0"/>
              <w:rPr>
                <w:sz w:val="20"/>
                <w:szCs w:val="20"/>
                <w:color w:val="auto"/>
              </w:rPr>
            </w:pPr>
            <w:r>
              <w:rPr>
                <w:rFonts w:ascii="Arial" w:cs="Arial" w:eastAsia="Arial" w:hAnsi="Arial"/>
                <w:sz w:val="17"/>
                <w:szCs w:val="17"/>
                <w:color w:val="auto"/>
              </w:rPr>
              <w:t>Weighted-average common shares outstanding, basic and diluted</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39,962,163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3,858,859</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9"/>
        </w:trPr>
        <w:tc>
          <w:tcPr>
            <w:tcW w:w="8140" w:type="dxa"/>
            <w:vAlign w:val="bottom"/>
          </w:tcPr>
          <w:p>
            <w:pPr>
              <w:ind w:left="420"/>
              <w:spacing w:after="0"/>
              <w:rPr>
                <w:sz w:val="20"/>
                <w:szCs w:val="20"/>
                <w:color w:val="auto"/>
              </w:rPr>
            </w:pPr>
            <w:r>
              <w:rPr>
                <w:rFonts w:ascii="Arial" w:cs="Arial" w:eastAsia="Arial" w:hAnsi="Arial"/>
                <w:sz w:val="17"/>
                <w:szCs w:val="17"/>
                <w:color w:val="auto"/>
              </w:rPr>
              <w:t>Net loss</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(75,268)</w:t>
            </w:r>
          </w:p>
        </w:tc>
        <w:tc>
          <w:tcPr>
            <w:tcW w:w="8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(61,688)</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Unrealized gain on marketable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368</w:t>
            </w:r>
          </w:p>
        </w:tc>
      </w:tr>
      <w:tr>
        <w:trPr>
          <w:trHeight w:val="232"/>
        </w:trPr>
        <w:tc>
          <w:tcPr>
            <w:tcW w:w="8140" w:type="dxa"/>
            <w:vAlign w:val="bottom"/>
          </w:tcPr>
          <w:p>
            <w:pPr>
              <w:ind w:left="800"/>
              <w:spacing w:after="0"/>
              <w:rPr>
                <w:sz w:val="20"/>
                <w:szCs w:val="20"/>
                <w:color w:val="auto"/>
              </w:rPr>
            </w:pPr>
            <w:r>
              <w:rPr>
                <w:rFonts w:ascii="Arial" w:cs="Arial" w:eastAsia="Arial" w:hAnsi="Arial"/>
                <w:sz w:val="17"/>
                <w:szCs w:val="17"/>
                <w:color w:val="auto"/>
              </w:rPr>
              <w:t>Total other comprehensive gain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368</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(75,096)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(61,320)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SIONNA THERAPEUTICS, INC.</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 (DEFICIT)</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(in thousands, except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60" w:type="dxa"/>
            <w:vAlign w:val="bottom"/>
          </w:tcPr>
          <w:p>
            <w:pPr>
              <w:spacing w:after="0"/>
              <w:rPr>
                <w:sz w:val="13"/>
                <w:szCs w:val="13"/>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9"/>
              </w:rPr>
              <w:t>Series Seed</w:t>
            </w:r>
          </w:p>
        </w:tc>
        <w:tc>
          <w:tcPr>
            <w:tcW w:w="136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9"/>
              </w:rPr>
              <w:t>Series A</w:t>
            </w:r>
          </w:p>
        </w:tc>
        <w:tc>
          <w:tcPr>
            <w:tcW w:w="14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9"/>
              </w:rPr>
              <w:t>Series B</w:t>
            </w:r>
          </w:p>
        </w:tc>
        <w:tc>
          <w:tcPr>
            <w:tcW w:w="1160" w:type="dxa"/>
            <w:vAlign w:val="bottom"/>
            <w:gridSpan w:val="3"/>
          </w:tcPr>
          <w:p>
            <w:pPr>
              <w:jc w:val="right"/>
              <w:ind w:right="179"/>
              <w:spacing w:after="0"/>
              <w:rPr>
                <w:sz w:val="20"/>
                <w:szCs w:val="20"/>
                <w:color w:val="auto"/>
              </w:rPr>
            </w:pPr>
            <w:r>
              <w:rPr>
                <w:rFonts w:ascii="Arial" w:cs="Arial" w:eastAsia="Arial" w:hAnsi="Arial"/>
                <w:sz w:val="12"/>
                <w:szCs w:val="12"/>
                <w:b w:val="1"/>
                <w:bCs w:val="1"/>
                <w:color w:val="auto"/>
              </w:rPr>
              <w:t>Series C</w:t>
            </w: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center"/>
              <w:ind w:right="6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44"/>
        </w:trPr>
        <w:tc>
          <w:tcPr>
            <w:tcW w:w="9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1360" w:type="dxa"/>
            <w:vAlign w:val="bottom"/>
            <w:gridSpan w:val="4"/>
            <w:vMerge w:val="restart"/>
          </w:tcPr>
          <w:p>
            <w:pPr>
              <w:jc w:val="center"/>
              <w:ind w:right="80"/>
              <w:spacing w:after="0" w:line="137" w:lineRule="exact"/>
              <w:rPr>
                <w:sz w:val="20"/>
                <w:szCs w:val="20"/>
                <w:color w:val="auto"/>
              </w:rPr>
            </w:pPr>
            <w:r>
              <w:rPr>
                <w:rFonts w:ascii="Arial" w:cs="Arial" w:eastAsia="Arial" w:hAnsi="Arial"/>
                <w:sz w:val="12"/>
                <w:szCs w:val="12"/>
                <w:b w:val="1"/>
                <w:bCs w:val="1"/>
                <w:color w:val="auto"/>
              </w:rPr>
              <w:t>Preferred Stock</w:t>
            </w:r>
          </w:p>
        </w:tc>
        <w:tc>
          <w:tcPr>
            <w:tcW w:w="1360" w:type="dxa"/>
            <w:vAlign w:val="bottom"/>
            <w:gridSpan w:val="4"/>
            <w:vMerge w:val="restart"/>
          </w:tcPr>
          <w:p>
            <w:pPr>
              <w:jc w:val="center"/>
              <w:ind w:right="100"/>
              <w:spacing w:after="0" w:line="137" w:lineRule="exact"/>
              <w:rPr>
                <w:sz w:val="20"/>
                <w:szCs w:val="20"/>
                <w:color w:val="auto"/>
              </w:rPr>
            </w:pPr>
            <w:r>
              <w:rPr>
                <w:rFonts w:ascii="Arial" w:cs="Arial" w:eastAsia="Arial" w:hAnsi="Arial"/>
                <w:sz w:val="12"/>
                <w:szCs w:val="12"/>
                <w:b w:val="1"/>
                <w:bCs w:val="1"/>
                <w:color w:val="auto"/>
              </w:rPr>
              <w:t>Preferred Stock</w:t>
            </w:r>
          </w:p>
        </w:tc>
        <w:tc>
          <w:tcPr>
            <w:tcW w:w="1460" w:type="dxa"/>
            <w:vAlign w:val="bottom"/>
            <w:gridSpan w:val="4"/>
            <w:vMerge w:val="restart"/>
          </w:tcPr>
          <w:p>
            <w:pPr>
              <w:jc w:val="center"/>
              <w:ind w:right="80"/>
              <w:spacing w:after="0" w:line="137" w:lineRule="exact"/>
              <w:rPr>
                <w:sz w:val="20"/>
                <w:szCs w:val="20"/>
                <w:color w:val="auto"/>
              </w:rPr>
            </w:pPr>
            <w:r>
              <w:rPr>
                <w:rFonts w:ascii="Arial" w:cs="Arial" w:eastAsia="Arial" w:hAnsi="Arial"/>
                <w:sz w:val="12"/>
                <w:szCs w:val="12"/>
                <w:b w:val="1"/>
                <w:bCs w:val="1"/>
                <w:color w:val="auto"/>
              </w:rPr>
              <w:t>Preferred Stock</w:t>
            </w:r>
          </w:p>
        </w:tc>
        <w:tc>
          <w:tcPr>
            <w:tcW w:w="1160" w:type="dxa"/>
            <w:vAlign w:val="bottom"/>
            <w:gridSpan w:val="3"/>
            <w:vMerge w:val="restart"/>
          </w:tcPr>
          <w:p>
            <w:pPr>
              <w:jc w:val="right"/>
              <w:spacing w:after="0" w:line="137" w:lineRule="exact"/>
              <w:rPr>
                <w:sz w:val="20"/>
                <w:szCs w:val="20"/>
                <w:color w:val="auto"/>
              </w:rPr>
            </w:pPr>
            <w:r>
              <w:rPr>
                <w:rFonts w:ascii="Arial" w:cs="Arial" w:eastAsia="Arial" w:hAnsi="Arial"/>
                <w:sz w:val="12"/>
                <w:szCs w:val="12"/>
                <w:b w:val="1"/>
                <w:bCs w:val="1"/>
                <w:color w:val="auto"/>
              </w:rPr>
              <w:t>Preferred Stock</w:t>
            </w:r>
          </w:p>
        </w:tc>
        <w:tc>
          <w:tcPr>
            <w:tcW w:w="2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gridSpan w:val="5"/>
            <w:vMerge w:val="restart"/>
          </w:tcPr>
          <w:p>
            <w:pPr>
              <w:ind w:left="160"/>
              <w:spacing w:after="0" w:line="137" w:lineRule="exact"/>
              <w:rPr>
                <w:sz w:val="20"/>
                <w:szCs w:val="20"/>
                <w:color w:val="auto"/>
              </w:rPr>
            </w:pPr>
            <w:r>
              <w:rPr>
                <w:rFonts w:ascii="Arial" w:cs="Arial" w:eastAsia="Arial" w:hAnsi="Arial"/>
                <w:sz w:val="12"/>
                <w:szCs w:val="12"/>
                <w:b w:val="1"/>
                <w:bCs w:val="1"/>
                <w:color w:val="auto"/>
              </w:rPr>
              <w:t>Common Stock</w:t>
            </w:r>
          </w:p>
        </w:tc>
        <w:tc>
          <w:tcPr>
            <w:tcW w:w="7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57"/>
        </w:trPr>
        <w:tc>
          <w:tcPr>
            <w:tcW w:w="96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30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Paid-In</w:t>
            </w:r>
          </w:p>
        </w:tc>
        <w:tc>
          <w:tcPr>
            <w:tcW w:w="1040" w:type="dxa"/>
            <w:vAlign w:val="bottom"/>
            <w:gridSpan w:val="3"/>
            <w:vMerge w:val="restart"/>
          </w:tcPr>
          <w:p>
            <w:pPr>
              <w:ind w:left="40"/>
              <w:spacing w:after="0" w:line="136" w:lineRule="exact"/>
              <w:rPr>
                <w:sz w:val="20"/>
                <w:szCs w:val="20"/>
                <w:color w:val="auto"/>
              </w:rPr>
            </w:pPr>
            <w:r>
              <w:rPr>
                <w:rFonts w:ascii="Arial" w:cs="Arial" w:eastAsia="Arial" w:hAnsi="Arial"/>
                <w:sz w:val="12"/>
                <w:szCs w:val="12"/>
                <w:b w:val="1"/>
                <w:bCs w:val="1"/>
                <w:color w:val="auto"/>
              </w:rPr>
              <w:t>Comprehensive</w:t>
            </w:r>
          </w:p>
        </w:tc>
        <w:tc>
          <w:tcPr>
            <w:tcW w:w="900" w:type="dxa"/>
            <w:vAlign w:val="bottom"/>
            <w:gridSpan w:val="3"/>
            <w:vMerge w:val="restart"/>
          </w:tcPr>
          <w:p>
            <w:pPr>
              <w:ind w:left="40"/>
              <w:spacing w:after="0" w:line="136" w:lineRule="exact"/>
              <w:rPr>
                <w:sz w:val="20"/>
                <w:szCs w:val="20"/>
                <w:color w:val="auto"/>
              </w:rPr>
            </w:pPr>
            <w:r>
              <w:rPr>
                <w:rFonts w:ascii="Arial" w:cs="Arial" w:eastAsia="Arial" w:hAnsi="Arial"/>
                <w:sz w:val="12"/>
                <w:szCs w:val="12"/>
                <w:b w:val="1"/>
                <w:bCs w:val="1"/>
                <w:color w:val="auto"/>
              </w:rPr>
              <w:t>Accumulated</w:t>
            </w: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9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jc w:val="center"/>
              <w:ind w:right="61"/>
              <w:spacing w:after="0" w:line="79"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66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7"/>
              </w:rPr>
              <w:t>Gain</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5"/>
                <w:szCs w:val="15"/>
                <w:color w:val="auto"/>
              </w:rPr>
            </w:pPr>
          </w:p>
        </w:tc>
        <w:tc>
          <w:tcPr>
            <w:tcW w:w="600" w:type="dxa"/>
            <w:vAlign w:val="bottom"/>
          </w:tcPr>
          <w:p>
            <w:pPr>
              <w:jc w:val="center"/>
              <w:ind w:right="61"/>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139"/>
        </w:trPr>
        <w:tc>
          <w:tcPr>
            <w:tcW w:w="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w:t>
            </w: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December</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31, 2023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3,963,963</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98"/>
              </w:rPr>
              <w:t>$ 13,014</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5,704,161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98"/>
              </w:rPr>
              <w:t>$ 25,235</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11,370,621</w:t>
            </w: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$110,791</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3,050,863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4,515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(119,398)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(114,881)</w:t>
            </w:r>
          </w:p>
        </w:tc>
        <w:tc>
          <w:tcPr>
            <w:tcW w:w="0" w:type="dxa"/>
            <w:vAlign w:val="bottom"/>
          </w:tcPr>
          <w:p>
            <w:pPr>
              <w:spacing w:after="0"/>
              <w:rPr>
                <w:sz w:val="1"/>
                <w:szCs w:val="1"/>
                <w:color w:val="auto"/>
              </w:rPr>
            </w:pPr>
          </w:p>
        </w:tc>
      </w:tr>
      <w:tr>
        <w:trPr>
          <w:trHeight w:val="132"/>
        </w:trPr>
        <w:tc>
          <w:tcPr>
            <w:tcW w:w="960" w:type="dxa"/>
            <w:vAlign w:val="bottom"/>
          </w:tcPr>
          <w:p>
            <w:pPr>
              <w:ind w:left="20"/>
              <w:spacing w:after="0" w:line="132" w:lineRule="exact"/>
              <w:rPr>
                <w:sz w:val="20"/>
                <w:szCs w:val="20"/>
                <w:color w:val="auto"/>
              </w:rPr>
            </w:pPr>
            <w:r>
              <w:rPr>
                <w:rFonts w:ascii="Arial" w:cs="Arial" w:eastAsia="Arial" w:hAnsi="Arial"/>
                <w:sz w:val="12"/>
                <w:szCs w:val="12"/>
                <w:color w:val="auto"/>
              </w:rPr>
              <w:t>Issuance of</w:t>
            </w: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180"/>
              <w:spacing w:after="0"/>
              <w:rPr>
                <w:sz w:val="20"/>
                <w:szCs w:val="20"/>
                <w:color w:val="auto"/>
              </w:rPr>
            </w:pPr>
            <w:r>
              <w:rPr>
                <w:rFonts w:ascii="Arial" w:cs="Arial" w:eastAsia="Arial" w:hAnsi="Arial"/>
                <w:sz w:val="12"/>
                <w:szCs w:val="12"/>
                <w:color w:val="auto"/>
              </w:rPr>
              <w:t>Series C</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60" w:type="dxa"/>
            <w:vAlign w:val="bottom"/>
          </w:tcPr>
          <w:p>
            <w:pPr>
              <w:ind w:left="180"/>
              <w:spacing w:after="0"/>
              <w:rPr>
                <w:sz w:val="20"/>
                <w:szCs w:val="20"/>
                <w:color w:val="auto"/>
              </w:rPr>
            </w:pPr>
            <w:r>
              <w:rPr>
                <w:rFonts w:ascii="Arial" w:cs="Arial" w:eastAsia="Arial" w:hAnsi="Arial"/>
                <w:sz w:val="12"/>
                <w:szCs w:val="12"/>
                <w:color w:val="auto"/>
              </w:rPr>
              <w:t>Preferred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180"/>
              <w:spacing w:after="0"/>
              <w:rPr>
                <w:sz w:val="20"/>
                <w:szCs w:val="20"/>
                <w:color w:val="auto"/>
              </w:rPr>
            </w:pPr>
            <w:r>
              <w:rPr>
                <w:rFonts w:ascii="Arial" w:cs="Arial" w:eastAsia="Arial" w:hAnsi="Arial"/>
                <w:sz w:val="12"/>
                <w:szCs w:val="12"/>
                <w:color w:val="auto"/>
              </w:rPr>
              <w:t>Stock, net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180"/>
              <w:spacing w:after="0"/>
              <w:rPr>
                <w:sz w:val="20"/>
                <w:szCs w:val="20"/>
                <w:color w:val="auto"/>
              </w:rPr>
            </w:pPr>
            <w:r>
              <w:rPr>
                <w:rFonts w:ascii="Arial" w:cs="Arial" w:eastAsia="Arial" w:hAnsi="Arial"/>
                <w:sz w:val="12"/>
                <w:szCs w:val="12"/>
                <w:color w:val="auto"/>
              </w:rPr>
              <w:t>issuance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180"/>
              <w:spacing w:after="0"/>
              <w:rPr>
                <w:sz w:val="20"/>
                <w:szCs w:val="20"/>
                <w:color w:val="auto"/>
              </w:rPr>
            </w:pPr>
            <w:r>
              <w:rPr>
                <w:rFonts w:ascii="Arial" w:cs="Arial" w:eastAsia="Arial" w:hAnsi="Arial"/>
                <w:sz w:val="12"/>
                <w:szCs w:val="12"/>
                <w:color w:val="auto"/>
              </w:rPr>
              <w:t>costs of $528</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18,628,970</w:t>
            </w:r>
          </w:p>
        </w:tc>
        <w:tc>
          <w:tcPr>
            <w:tcW w:w="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181,328</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 from</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IPR&amp;D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acquisition</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1,414,445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8,637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8,639</w:t>
            </w:r>
          </w:p>
        </w:tc>
        <w:tc>
          <w:tcPr>
            <w:tcW w:w="0" w:type="dxa"/>
            <w:vAlign w:val="bottom"/>
          </w:tcPr>
          <w:p>
            <w:pPr>
              <w:spacing w:after="0"/>
              <w:rPr>
                <w:sz w:val="1"/>
                <w:szCs w:val="1"/>
                <w:color w:val="auto"/>
              </w:rPr>
            </w:pPr>
          </w:p>
        </w:tc>
      </w:tr>
      <w:tr>
        <w:trPr>
          <w:trHeight w:val="152"/>
        </w:trPr>
        <w:tc>
          <w:tcPr>
            <w:tcW w:w="960" w:type="dxa"/>
            <w:vAlign w:val="bottom"/>
          </w:tcPr>
          <w:p>
            <w:pPr>
              <w:ind w:left="20"/>
              <w:spacing w:after="0"/>
              <w:rPr>
                <w:sz w:val="20"/>
                <w:szCs w:val="20"/>
                <w:color w:val="auto"/>
              </w:rPr>
            </w:pPr>
            <w:r>
              <w:rPr>
                <w:rFonts w:ascii="Arial" w:cs="Arial" w:eastAsia="Arial" w:hAnsi="Arial"/>
                <w:sz w:val="12"/>
                <w:szCs w:val="12"/>
                <w:color w:val="auto"/>
              </w:rPr>
              <w:t>Exercise of</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180"/>
              <w:spacing w:after="0"/>
              <w:rPr>
                <w:sz w:val="20"/>
                <w:szCs w:val="20"/>
                <w:color w:val="auto"/>
              </w:rPr>
            </w:pPr>
            <w:r>
              <w:rPr>
                <w:rFonts w:ascii="Arial" w:cs="Arial" w:eastAsia="Arial" w:hAnsi="Arial"/>
                <w:sz w:val="12"/>
                <w:szCs w:val="12"/>
                <w:color w:val="auto"/>
              </w:rPr>
              <w:t>common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60" w:type="dxa"/>
            <w:vAlign w:val="bottom"/>
          </w:tcPr>
          <w:p>
            <w:pPr>
              <w:ind w:left="180"/>
              <w:spacing w:after="0"/>
              <w:rPr>
                <w:sz w:val="20"/>
                <w:szCs w:val="20"/>
                <w:color w:val="auto"/>
              </w:rPr>
            </w:pPr>
            <w:r>
              <w:rPr>
                <w:rFonts w:ascii="Arial" w:cs="Arial" w:eastAsia="Arial" w:hAnsi="Arial"/>
                <w:sz w:val="12"/>
                <w:szCs w:val="12"/>
                <w:color w:val="auto"/>
              </w:rPr>
              <w:t>stock options</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3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71,264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141</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Vesting of</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restricted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stock awards</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186,191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960" w:type="dxa"/>
            <w:vAlign w:val="bottom"/>
          </w:tcPr>
          <w:p>
            <w:pPr>
              <w:ind w:left="20"/>
              <w:spacing w:after="0"/>
              <w:rPr>
                <w:sz w:val="20"/>
                <w:szCs w:val="20"/>
                <w:color w:val="auto"/>
              </w:rPr>
            </w:pPr>
            <w:r>
              <w:rPr>
                <w:rFonts w:ascii="Arial" w:cs="Arial" w:eastAsia="Arial" w:hAnsi="Arial"/>
                <w:sz w:val="12"/>
                <w:szCs w:val="12"/>
                <w:color w:val="auto"/>
              </w:rPr>
              <w:t>Stock-based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180"/>
              <w:spacing w:after="0"/>
              <w:rPr>
                <w:sz w:val="20"/>
                <w:szCs w:val="20"/>
                <w:color w:val="auto"/>
              </w:rPr>
            </w:pPr>
            <w:r>
              <w:rPr>
                <w:rFonts w:ascii="Arial" w:cs="Arial" w:eastAsia="Arial" w:hAnsi="Arial"/>
                <w:sz w:val="12"/>
                <w:szCs w:val="12"/>
                <w:color w:val="auto"/>
              </w:rPr>
              <w:t>compensation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60" w:type="dxa"/>
            <w:vAlign w:val="bottom"/>
          </w:tcPr>
          <w:p>
            <w:pPr>
              <w:ind w:left="180"/>
              <w:spacing w:after="0"/>
              <w:rPr>
                <w:sz w:val="20"/>
                <w:szCs w:val="20"/>
                <w:color w:val="auto"/>
              </w:rPr>
            </w:pPr>
            <w:r>
              <w:rPr>
                <w:rFonts w:ascii="Arial" w:cs="Arial" w:eastAsia="Arial" w:hAnsi="Arial"/>
                <w:sz w:val="12"/>
                <w:szCs w:val="12"/>
                <w:color w:val="auto"/>
              </w:rPr>
              <w:t>expense</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3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3,708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3,708</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Unrealized gain</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marketable</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debt</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securities</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368</w:t>
            </w: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368</w:t>
            </w:r>
          </w:p>
        </w:tc>
        <w:tc>
          <w:tcPr>
            <w:tcW w:w="0" w:type="dxa"/>
            <w:vAlign w:val="bottom"/>
          </w:tcPr>
          <w:p>
            <w:pPr>
              <w:spacing w:after="0"/>
              <w:rPr>
                <w:sz w:val="1"/>
                <w:szCs w:val="1"/>
                <w:color w:val="auto"/>
              </w:rPr>
            </w:pPr>
          </w:p>
        </w:tc>
      </w:tr>
      <w:tr>
        <w:trPr>
          <w:trHeight w:val="169"/>
        </w:trPr>
        <w:tc>
          <w:tcPr>
            <w:tcW w:w="960" w:type="dxa"/>
            <w:vAlign w:val="bottom"/>
          </w:tcPr>
          <w:p>
            <w:pPr>
              <w:ind w:left="20"/>
              <w:spacing w:after="0"/>
              <w:rPr>
                <w:sz w:val="20"/>
                <w:szCs w:val="20"/>
                <w:color w:val="auto"/>
              </w:rPr>
            </w:pPr>
            <w:r>
              <w:rPr>
                <w:rFonts w:ascii="Arial" w:cs="Arial" w:eastAsia="Arial" w:hAnsi="Arial"/>
                <w:sz w:val="12"/>
                <w:szCs w:val="12"/>
                <w:color w:val="auto"/>
              </w:rPr>
              <w:t>Net loss</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3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(61,688)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(61,688)</w:t>
            </w:r>
          </w:p>
        </w:tc>
        <w:tc>
          <w:tcPr>
            <w:tcW w:w="0" w:type="dxa"/>
            <w:vAlign w:val="bottom"/>
          </w:tcPr>
          <w:p>
            <w:pPr>
              <w:spacing w:after="0"/>
              <w:rPr>
                <w:sz w:val="1"/>
                <w:szCs w:val="1"/>
                <w:color w:val="auto"/>
              </w:rPr>
            </w:pPr>
          </w:p>
        </w:tc>
      </w:tr>
      <w:tr>
        <w:trPr>
          <w:trHeight w:val="27"/>
        </w:trPr>
        <w:tc>
          <w:tcPr>
            <w:tcW w:w="9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96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Balance at</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December</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3,963,963</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w w:val="98"/>
              </w:rPr>
              <w:t>$ 13,014</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5,704,161</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w w:val="98"/>
              </w:rPr>
              <w:t>$ 25,235</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11,370,621</w:t>
            </w:r>
          </w:p>
        </w:tc>
        <w:tc>
          <w:tcPr>
            <w:tcW w:w="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$110,791</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18,628,970</w:t>
            </w: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181,328</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4,722,763</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17,000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368</w:t>
            </w:r>
          </w:p>
        </w:tc>
        <w:tc>
          <w:tcPr>
            <w:tcW w:w="6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(181,086)</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(163,713)</w:t>
            </w:r>
          </w:p>
        </w:tc>
        <w:tc>
          <w:tcPr>
            <w:tcW w:w="0" w:type="dxa"/>
            <w:vAlign w:val="bottom"/>
          </w:tcPr>
          <w:p>
            <w:pPr>
              <w:spacing w:after="0"/>
              <w:rPr>
                <w:sz w:val="1"/>
                <w:szCs w:val="1"/>
                <w:color w:val="auto"/>
              </w:rPr>
            </w:pPr>
          </w:p>
        </w:tc>
      </w:tr>
      <w:tr>
        <w:trPr>
          <w:trHeight w:val="190"/>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31, 2024</w:t>
            </w: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Conversion of</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60"/>
              <w:spacing w:after="0"/>
              <w:rPr>
                <w:sz w:val="20"/>
                <w:szCs w:val="20"/>
                <w:color w:val="auto"/>
              </w:rPr>
            </w:pPr>
            <w:r>
              <w:rPr>
                <w:rFonts w:ascii="Arial" w:cs="Arial" w:eastAsia="Arial" w:hAnsi="Arial"/>
                <w:sz w:val="12"/>
                <w:szCs w:val="12"/>
                <w:color w:val="auto"/>
              </w:rPr>
              <w:t>convertible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60" w:type="dxa"/>
            <w:vAlign w:val="bottom"/>
          </w:tcPr>
          <w:p>
            <w:pPr>
              <w:ind w:left="260"/>
              <w:spacing w:after="0"/>
              <w:rPr>
                <w:sz w:val="20"/>
                <w:szCs w:val="20"/>
                <w:color w:val="auto"/>
              </w:rPr>
            </w:pPr>
            <w:r>
              <w:rPr>
                <w:rFonts w:ascii="Arial" w:cs="Arial" w:eastAsia="Arial" w:hAnsi="Arial"/>
                <w:sz w:val="12"/>
                <w:szCs w:val="12"/>
                <w:color w:val="auto"/>
              </w:rPr>
              <w:t>preferred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60"/>
              <w:spacing w:after="0"/>
              <w:rPr>
                <w:sz w:val="20"/>
                <w:szCs w:val="20"/>
                <w:color w:val="auto"/>
              </w:rPr>
            </w:pPr>
            <w:r>
              <w:rPr>
                <w:rFonts w:ascii="Arial" w:cs="Arial" w:eastAsia="Arial" w:hAnsi="Arial"/>
                <w:sz w:val="12"/>
                <w:szCs w:val="12"/>
                <w:color w:val="auto"/>
              </w:rPr>
              <w:t>stock to</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60"/>
              <w:spacing w:after="0"/>
              <w:rPr>
                <w:sz w:val="20"/>
                <w:szCs w:val="20"/>
                <w:color w:val="auto"/>
              </w:rPr>
            </w:pPr>
            <w:r>
              <w:rPr>
                <w:rFonts w:ascii="Arial" w:cs="Arial" w:eastAsia="Arial" w:hAnsi="Arial"/>
                <w:sz w:val="12"/>
                <w:szCs w:val="12"/>
                <w:color w:val="auto"/>
              </w:rPr>
              <w:t>common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60"/>
              <w:spacing w:after="0"/>
              <w:rPr>
                <w:sz w:val="20"/>
                <w:szCs w:val="20"/>
                <w:color w:val="auto"/>
              </w:rPr>
            </w:pPr>
            <w:r>
              <w:rPr>
                <w:rFonts w:ascii="Arial" w:cs="Arial" w:eastAsia="Arial" w:hAnsi="Arial"/>
                <w:sz w:val="12"/>
                <w:szCs w:val="12"/>
                <w:color w:val="auto"/>
              </w:rPr>
              <w:t>stock upon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60"/>
              <w:spacing w:after="0"/>
              <w:rPr>
                <w:sz w:val="20"/>
                <w:szCs w:val="20"/>
                <w:color w:val="auto"/>
              </w:rPr>
            </w:pPr>
            <w:r>
              <w:rPr>
                <w:rFonts w:ascii="Arial" w:cs="Arial" w:eastAsia="Arial" w:hAnsi="Arial"/>
                <w:sz w:val="12"/>
                <w:szCs w:val="12"/>
                <w:color w:val="auto"/>
              </w:rPr>
              <w:t>closing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60" w:type="dxa"/>
            <w:vAlign w:val="bottom"/>
          </w:tcPr>
          <w:p>
            <w:pPr>
              <w:ind w:left="260"/>
              <w:spacing w:after="0"/>
              <w:rPr>
                <w:sz w:val="20"/>
                <w:szCs w:val="20"/>
                <w:color w:val="auto"/>
              </w:rPr>
            </w:pPr>
            <w:r>
              <w:rPr>
                <w:rFonts w:ascii="Arial" w:cs="Arial" w:eastAsia="Arial" w:hAnsi="Arial"/>
                <w:sz w:val="12"/>
                <w:szCs w:val="12"/>
                <w:color w:val="auto"/>
              </w:rPr>
              <w:t>initial public</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60"/>
              <w:spacing w:after="0"/>
              <w:rPr>
                <w:sz w:val="20"/>
                <w:szCs w:val="20"/>
                <w:color w:val="auto"/>
              </w:rPr>
            </w:pPr>
            <w:r>
              <w:rPr>
                <w:rFonts w:ascii="Arial" w:cs="Arial" w:eastAsia="Arial" w:hAnsi="Arial"/>
                <w:sz w:val="12"/>
                <w:szCs w:val="12"/>
                <w:color w:val="auto"/>
              </w:rPr>
              <w:t>offering</w:t>
            </w:r>
          </w:p>
        </w:tc>
        <w:tc>
          <w:tcPr>
            <w:tcW w:w="660" w:type="dxa"/>
            <w:vAlign w:val="bottom"/>
          </w:tcPr>
          <w:p>
            <w:pPr>
              <w:jc w:val="right"/>
              <w:spacing w:after="0"/>
              <w:rPr>
                <w:sz w:val="20"/>
                <w:szCs w:val="20"/>
                <w:color w:val="auto"/>
              </w:rPr>
            </w:pPr>
            <w:r>
              <w:rPr>
                <w:rFonts w:ascii="Arial" w:cs="Arial" w:eastAsia="Arial" w:hAnsi="Arial"/>
                <w:sz w:val="12"/>
                <w:szCs w:val="12"/>
                <w:color w:val="auto"/>
              </w:rPr>
              <w:t>(3,963,963)</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(13,014)</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(5,704,161)</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(25,235)</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w w:val="99"/>
              </w:rPr>
              <w:t>(11,370,621)</w:t>
            </w: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(110,791)</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w w:val="99"/>
              </w:rPr>
              <w:t>(18,628,970)</w:t>
            </w:r>
          </w:p>
        </w:tc>
        <w:tc>
          <w:tcPr>
            <w:tcW w:w="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(181,328)</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27,149,206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330,340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330,367</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 from</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initial public</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offering, net</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of issuance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costs of</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$4,265</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12,176,467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199,558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199,570</w:t>
            </w:r>
          </w:p>
        </w:tc>
        <w:tc>
          <w:tcPr>
            <w:tcW w:w="0" w:type="dxa"/>
            <w:vAlign w:val="bottom"/>
          </w:tcPr>
          <w:p>
            <w:pPr>
              <w:spacing w:after="0"/>
              <w:rPr>
                <w:sz w:val="1"/>
                <w:szCs w:val="1"/>
                <w:color w:val="auto"/>
              </w:rPr>
            </w:pPr>
          </w:p>
        </w:tc>
      </w:tr>
      <w:tr>
        <w:trPr>
          <w:trHeight w:val="152"/>
        </w:trPr>
        <w:tc>
          <w:tcPr>
            <w:tcW w:w="960" w:type="dxa"/>
            <w:vAlign w:val="bottom"/>
          </w:tcPr>
          <w:p>
            <w:pPr>
              <w:ind w:left="20"/>
              <w:spacing w:after="0"/>
              <w:rPr>
                <w:sz w:val="20"/>
                <w:szCs w:val="20"/>
                <w:color w:val="auto"/>
              </w:rPr>
            </w:pPr>
            <w:r>
              <w:rPr>
                <w:rFonts w:ascii="Arial" w:cs="Arial" w:eastAsia="Arial" w:hAnsi="Arial"/>
                <w:sz w:val="12"/>
                <w:szCs w:val="12"/>
                <w:color w:val="auto"/>
              </w:rPr>
              <w:t>Exercise of</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180"/>
              <w:spacing w:after="0"/>
              <w:rPr>
                <w:sz w:val="20"/>
                <w:szCs w:val="20"/>
                <w:color w:val="auto"/>
              </w:rPr>
            </w:pPr>
            <w:r>
              <w:rPr>
                <w:rFonts w:ascii="Arial" w:cs="Arial" w:eastAsia="Arial" w:hAnsi="Arial"/>
                <w:sz w:val="12"/>
                <w:szCs w:val="12"/>
                <w:color w:val="auto"/>
              </w:rPr>
              <w:t>common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60" w:type="dxa"/>
            <w:vAlign w:val="bottom"/>
          </w:tcPr>
          <w:p>
            <w:pPr>
              <w:ind w:left="180"/>
              <w:spacing w:after="0"/>
              <w:rPr>
                <w:sz w:val="20"/>
                <w:szCs w:val="20"/>
                <w:color w:val="auto"/>
              </w:rPr>
            </w:pPr>
            <w:r>
              <w:rPr>
                <w:rFonts w:ascii="Arial" w:cs="Arial" w:eastAsia="Arial" w:hAnsi="Arial"/>
                <w:sz w:val="12"/>
                <w:szCs w:val="12"/>
                <w:color w:val="auto"/>
              </w:rPr>
              <w:t>stock options</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3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599,191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3,639</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Vesting of</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restricted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stock awards</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75,958</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960" w:type="dxa"/>
            <w:vAlign w:val="bottom"/>
          </w:tcPr>
          <w:p>
            <w:pPr>
              <w:ind w:left="20"/>
              <w:spacing w:after="0"/>
              <w:rPr>
                <w:sz w:val="20"/>
                <w:szCs w:val="20"/>
                <w:color w:val="auto"/>
              </w:rPr>
            </w:pPr>
            <w:r>
              <w:rPr>
                <w:rFonts w:ascii="Arial" w:cs="Arial" w:eastAsia="Arial" w:hAnsi="Arial"/>
                <w:sz w:val="12"/>
                <w:szCs w:val="12"/>
                <w:color w:val="auto"/>
              </w:rPr>
              <w:t>Stock-based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180"/>
              <w:spacing w:after="0"/>
              <w:rPr>
                <w:sz w:val="20"/>
                <w:szCs w:val="20"/>
                <w:color w:val="auto"/>
              </w:rPr>
            </w:pPr>
            <w:r>
              <w:rPr>
                <w:rFonts w:ascii="Arial" w:cs="Arial" w:eastAsia="Arial" w:hAnsi="Arial"/>
                <w:sz w:val="12"/>
                <w:szCs w:val="12"/>
                <w:color w:val="auto"/>
              </w:rPr>
              <w:t>compensation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60" w:type="dxa"/>
            <w:vAlign w:val="bottom"/>
          </w:tcPr>
          <w:p>
            <w:pPr>
              <w:ind w:left="180"/>
              <w:spacing w:after="0"/>
              <w:rPr>
                <w:sz w:val="20"/>
                <w:szCs w:val="20"/>
                <w:color w:val="auto"/>
              </w:rPr>
            </w:pPr>
            <w:r>
              <w:rPr>
                <w:rFonts w:ascii="Arial" w:cs="Arial" w:eastAsia="Arial" w:hAnsi="Arial"/>
                <w:sz w:val="12"/>
                <w:szCs w:val="12"/>
                <w:color w:val="auto"/>
              </w:rPr>
              <w:t>expense</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3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12,066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12,066</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Unrealized gain</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marketable</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debt</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securities</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169"/>
        </w:trPr>
        <w:tc>
          <w:tcPr>
            <w:tcW w:w="960" w:type="dxa"/>
            <w:vAlign w:val="bottom"/>
          </w:tcPr>
          <w:p>
            <w:pPr>
              <w:ind w:left="20"/>
              <w:spacing w:after="0"/>
              <w:rPr>
                <w:sz w:val="20"/>
                <w:szCs w:val="20"/>
                <w:color w:val="auto"/>
              </w:rPr>
            </w:pPr>
            <w:r>
              <w:rPr>
                <w:rFonts w:ascii="Arial" w:cs="Arial" w:eastAsia="Arial" w:hAnsi="Arial"/>
                <w:sz w:val="12"/>
                <w:szCs w:val="12"/>
                <w:color w:val="auto"/>
              </w:rPr>
              <w:t>Net loss</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3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(75,268)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(75,268)</w:t>
            </w:r>
          </w:p>
        </w:tc>
        <w:tc>
          <w:tcPr>
            <w:tcW w:w="0" w:type="dxa"/>
            <w:vAlign w:val="bottom"/>
          </w:tcPr>
          <w:p>
            <w:pPr>
              <w:spacing w:after="0"/>
              <w:rPr>
                <w:sz w:val="1"/>
                <w:szCs w:val="1"/>
                <w:color w:val="auto"/>
              </w:rPr>
            </w:pPr>
          </w:p>
        </w:tc>
      </w:tr>
      <w:tr>
        <w:trPr>
          <w:trHeight w:val="27"/>
        </w:trPr>
        <w:tc>
          <w:tcPr>
            <w:tcW w:w="9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96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Balance at</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December</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3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44,723,585</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562,602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540</w:t>
            </w:r>
          </w:p>
        </w:tc>
        <w:tc>
          <w:tcPr>
            <w:tcW w:w="6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(256,354)</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306,833</w:t>
            </w:r>
          </w:p>
        </w:tc>
        <w:tc>
          <w:tcPr>
            <w:tcW w:w="0" w:type="dxa"/>
            <w:vAlign w:val="bottom"/>
          </w:tcPr>
          <w:p>
            <w:pPr>
              <w:spacing w:after="0"/>
              <w:rPr>
                <w:sz w:val="1"/>
                <w:szCs w:val="1"/>
                <w:color w:val="auto"/>
              </w:rPr>
            </w:pPr>
          </w:p>
        </w:tc>
      </w:tr>
      <w:tr>
        <w:trPr>
          <w:trHeight w:val="190"/>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31, 2025</w:t>
            </w:r>
          </w:p>
        </w:tc>
        <w:tc>
          <w:tcPr>
            <w:tcW w:w="74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3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SIONNA THERAPEUTICS,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 Ended December 31,</w:t>
            </w:r>
          </w:p>
        </w:tc>
      </w:tr>
      <w:tr>
        <w:trPr>
          <w:trHeight w:val="215"/>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r>
      <w:tr>
        <w:trPr>
          <w:trHeight w:val="39"/>
        </w:trPr>
        <w:tc>
          <w:tcPr>
            <w:tcW w:w="8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(75,268)</w:t>
            </w:r>
          </w:p>
        </w:tc>
        <w:tc>
          <w:tcPr>
            <w:tcW w:w="8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(61,688)</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8140" w:type="dxa"/>
            <w:vAlign w:val="bottom"/>
          </w:tcPr>
          <w:p>
            <w:pPr>
              <w:ind w:left="420"/>
              <w:spacing w:after="0"/>
              <w:rPr>
                <w:sz w:val="20"/>
                <w:szCs w:val="20"/>
                <w:color w:val="auto"/>
              </w:rPr>
            </w:pPr>
            <w:r>
              <w:rPr>
                <w:rFonts w:ascii="Arial" w:cs="Arial" w:eastAsia="Arial" w:hAnsi="Arial"/>
                <w:sz w:val="17"/>
                <w:szCs w:val="17"/>
                <w:color w:val="auto"/>
              </w:rPr>
              <w:t>Stock-based compensation expense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12,066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3,708</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Non-cash operating lease expense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1,962</w:t>
            </w:r>
          </w:p>
        </w:tc>
      </w:tr>
      <w:tr>
        <w:trPr>
          <w:trHeight w:val="239"/>
        </w:trPr>
        <w:tc>
          <w:tcPr>
            <w:tcW w:w="8140" w:type="dxa"/>
            <w:vAlign w:val="bottom"/>
          </w:tcPr>
          <w:p>
            <w:pPr>
              <w:ind w:left="420"/>
              <w:spacing w:after="0"/>
              <w:rPr>
                <w:sz w:val="20"/>
                <w:szCs w:val="20"/>
                <w:color w:val="auto"/>
              </w:rPr>
            </w:pPr>
            <w:r>
              <w:rPr>
                <w:rFonts w:ascii="Arial" w:cs="Arial" w:eastAsia="Arial" w:hAnsi="Arial"/>
                <w:sz w:val="17"/>
                <w:szCs w:val="17"/>
                <w:color w:val="auto"/>
              </w:rPr>
              <w:t>Amortization of discount on marketable securities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(3,052)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(3,001)</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Non-cash expense related to IPR&amp;D acquisition</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8,639</w:t>
            </w:r>
          </w:p>
        </w:tc>
      </w:tr>
      <w:tr>
        <w:trPr>
          <w:trHeight w:val="239"/>
        </w:trPr>
        <w:tc>
          <w:tcPr>
            <w:tcW w:w="8140" w:type="dxa"/>
            <w:vAlign w:val="bottom"/>
          </w:tcPr>
          <w:p>
            <w:pPr>
              <w:ind w:left="420"/>
              <w:spacing w:after="0"/>
              <w:rPr>
                <w:sz w:val="20"/>
                <w:szCs w:val="20"/>
                <w:color w:val="auto"/>
              </w:rPr>
            </w:pPr>
            <w:r>
              <w:rPr>
                <w:rFonts w:ascii="Arial" w:cs="Arial" w:eastAsia="Arial" w:hAnsi="Arial"/>
                <w:sz w:val="17"/>
                <w:szCs w:val="17"/>
                <w:color w:val="auto"/>
              </w:rPr>
              <w:t>Depreciation expense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668</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8140" w:type="dxa"/>
            <w:vAlign w:val="bottom"/>
          </w:tcPr>
          <w:p>
            <w:pPr>
              <w:ind w:left="42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(2,082)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(2,760)</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Accounts payable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467</w:t>
            </w:r>
          </w:p>
        </w:tc>
      </w:tr>
      <w:tr>
        <w:trPr>
          <w:trHeight w:val="239"/>
        </w:trPr>
        <w:tc>
          <w:tcPr>
            <w:tcW w:w="8140" w:type="dxa"/>
            <w:vAlign w:val="bottom"/>
          </w:tcPr>
          <w:p>
            <w:pPr>
              <w:ind w:left="420"/>
              <w:spacing w:after="0"/>
              <w:rPr>
                <w:sz w:val="20"/>
                <w:szCs w:val="20"/>
                <w:color w:val="auto"/>
              </w:rPr>
            </w:pPr>
            <w:r>
              <w:rPr>
                <w:rFonts w:ascii="Arial" w:cs="Arial" w:eastAsia="Arial" w:hAnsi="Arial"/>
                <w:sz w:val="17"/>
                <w:szCs w:val="17"/>
                <w:color w:val="auto"/>
              </w:rPr>
              <w:t>Accrued expenses and other current liabilities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1,975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1,080</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Operating lease liability</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(1,897)</w:t>
            </w:r>
          </w:p>
        </w:tc>
      </w:tr>
      <w:tr>
        <w:trPr>
          <w:trHeight w:val="239"/>
        </w:trPr>
        <w:tc>
          <w:tcPr>
            <w:tcW w:w="8140" w:type="dxa"/>
            <w:vAlign w:val="bottom"/>
          </w:tcPr>
          <w:p>
            <w:pPr>
              <w:ind w:left="420"/>
              <w:spacing w:after="0"/>
              <w:rPr>
                <w:sz w:val="20"/>
                <w:szCs w:val="20"/>
                <w:color w:val="auto"/>
              </w:rPr>
            </w:pPr>
            <w:r>
              <w:rPr>
                <w:rFonts w:ascii="Arial" w:cs="Arial" w:eastAsia="Arial" w:hAnsi="Arial"/>
                <w:sz w:val="17"/>
                <w:szCs w:val="17"/>
                <w:color w:val="auto"/>
              </w:rPr>
              <w:t>Other assets</w:t>
            </w: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(66,297)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(52,787)</w:t>
            </w:r>
          </w:p>
        </w:tc>
      </w:tr>
      <w:tr>
        <w:trPr>
          <w:trHeight w:val="254"/>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48"/>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39"/>
        </w:trPr>
        <w:tc>
          <w:tcPr>
            <w:tcW w:w="8140" w:type="dxa"/>
            <w:vAlign w:val="bottom"/>
          </w:tcPr>
          <w:p>
            <w:pPr>
              <w:ind w:left="420"/>
              <w:spacing w:after="0"/>
              <w:rPr>
                <w:sz w:val="20"/>
                <w:szCs w:val="20"/>
                <w:color w:val="auto"/>
              </w:rPr>
            </w:pPr>
            <w:r>
              <w:rPr>
                <w:rFonts w:ascii="Arial" w:cs="Arial" w:eastAsia="Arial" w:hAnsi="Arial"/>
                <w:sz w:val="17"/>
                <w:szCs w:val="17"/>
                <w:color w:val="auto"/>
              </w:rPr>
              <w:t>Purchases of marketable securities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(325,025)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(182,841)</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Maturities of marketable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206,653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55,955</w:t>
            </w:r>
          </w:p>
        </w:tc>
      </w:tr>
      <w:tr>
        <w:trPr>
          <w:trHeight w:val="232"/>
        </w:trPr>
        <w:tc>
          <w:tcPr>
            <w:tcW w:w="81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(118,749)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(126,913)</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18"/>
        </w:trPr>
        <w:tc>
          <w:tcPr>
            <w:tcW w:w="8140" w:type="dxa"/>
            <w:vAlign w:val="bottom"/>
          </w:tcPr>
          <w:p>
            <w:pPr>
              <w:ind w:left="440"/>
              <w:spacing w:after="0"/>
              <w:rPr>
                <w:sz w:val="20"/>
                <w:szCs w:val="20"/>
                <w:color w:val="auto"/>
              </w:rPr>
            </w:pPr>
            <w:r>
              <w:rPr>
                <w:rFonts w:ascii="Arial" w:cs="Arial" w:eastAsia="Arial" w:hAnsi="Arial"/>
                <w:sz w:val="17"/>
                <w:szCs w:val="17"/>
                <w:color w:val="auto"/>
              </w:rPr>
              <w:t>Proceeds from initial public offering, net of underwriter discounts, commissions and offering costs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40" w:type="dxa"/>
            <w:vAlign w:val="bottom"/>
          </w:tcPr>
          <w:p>
            <w:pPr>
              <w:ind w:left="600"/>
              <w:spacing w:after="0"/>
              <w:rPr>
                <w:sz w:val="20"/>
                <w:szCs w:val="20"/>
                <w:color w:val="auto"/>
              </w:rPr>
            </w:pPr>
            <w:r>
              <w:rPr>
                <w:rFonts w:ascii="Arial" w:cs="Arial" w:eastAsia="Arial" w:hAnsi="Arial"/>
                <w:sz w:val="17"/>
                <w:szCs w:val="17"/>
                <w:color w:val="auto"/>
              </w:rPr>
              <w:t>paid during the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202,071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Proceeds from issuance of Series C convertible preferred stock, net of issuance costs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181,328</w:t>
            </w:r>
          </w:p>
        </w:tc>
      </w:tr>
      <w:tr>
        <w:trPr>
          <w:trHeight w:val="239"/>
        </w:trPr>
        <w:tc>
          <w:tcPr>
            <w:tcW w:w="8140" w:type="dxa"/>
            <w:vAlign w:val="bottom"/>
          </w:tcPr>
          <w:p>
            <w:pPr>
              <w:ind w:left="420"/>
              <w:spacing w:after="0"/>
              <w:rPr>
                <w:sz w:val="20"/>
                <w:szCs w:val="20"/>
                <w:color w:val="auto"/>
              </w:rPr>
            </w:pPr>
            <w:r>
              <w:rPr>
                <w:rFonts w:ascii="Arial" w:cs="Arial" w:eastAsia="Arial" w:hAnsi="Arial"/>
                <w:sz w:val="17"/>
                <w:szCs w:val="17"/>
                <w:color w:val="auto"/>
              </w:rPr>
              <w:t>Payment of deferred offering costs</w:t>
            </w: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(2,502)</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Exercise of common stock options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32"/>
        </w:trPr>
        <w:tc>
          <w:tcPr>
            <w:tcW w:w="8140" w:type="dxa"/>
            <w:vAlign w:val="bottom"/>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205,710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178,967</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20,664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(733)</w:t>
            </w: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38,750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39,483</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59,414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38,750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8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Conversion of convertible preferred stock into common stock upon closing of initial public offering</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330,368</w:t>
            </w:r>
          </w:p>
        </w:tc>
        <w:tc>
          <w:tcPr>
            <w:tcW w:w="8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Offering costs transferred to additional paid in capital</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4,265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8140" w:type="dxa"/>
            <w:vAlign w:val="bottom"/>
          </w:tcPr>
          <w:p>
            <w:pPr>
              <w:ind w:left="20"/>
              <w:spacing w:after="0"/>
              <w:rPr>
                <w:sz w:val="20"/>
                <w:szCs w:val="20"/>
                <w:color w:val="auto"/>
              </w:rPr>
            </w:pPr>
            <w:r>
              <w:rPr>
                <w:rFonts w:ascii="Arial" w:cs="Arial" w:eastAsia="Arial" w:hAnsi="Arial"/>
                <w:sz w:val="17"/>
                <w:szCs w:val="17"/>
                <w:color w:val="auto"/>
              </w:rPr>
              <w:t>Deferred offering costs in accrued expenses</w:t>
            </w:r>
          </w:p>
        </w:tc>
        <w:tc>
          <w:tcPr>
            <w:tcW w:w="3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cash, cash equivalents and restricted cash: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58,451</w:t>
            </w:r>
          </w:p>
        </w:tc>
        <w:tc>
          <w:tcPr>
            <w:tcW w:w="8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37,788</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962</w:t>
            </w:r>
          </w:p>
        </w:tc>
      </w:tr>
      <w:tr>
        <w:trPr>
          <w:trHeight w:val="254"/>
        </w:trPr>
        <w:tc>
          <w:tcPr>
            <w:tcW w:w="8140" w:type="dxa"/>
            <w:vAlign w:val="bottom"/>
          </w:tcPr>
          <w:p>
            <w:pPr>
              <w:ind w:left="420"/>
              <w:spacing w:after="0"/>
              <w:rPr>
                <w:sz w:val="20"/>
                <w:szCs w:val="20"/>
                <w:color w:val="auto"/>
              </w:rPr>
            </w:pPr>
            <w:r>
              <w:rPr>
                <w:rFonts w:ascii="Arial" w:cs="Arial" w:eastAsia="Arial" w:hAnsi="Arial"/>
                <w:sz w:val="17"/>
                <w:szCs w:val="17"/>
                <w:color w:val="auto"/>
              </w:rPr>
              <w:t>Total cash, cash equivalents, and restricted cash</w:t>
            </w: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59,414</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38,750</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SIONNA THERAPEUTICS, INC.</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7" w:lineRule="exact"/>
        <w:rPr>
          <w:sz w:val="20"/>
          <w:szCs w:val="20"/>
          <w:color w:val="auto"/>
        </w:rPr>
      </w:pPr>
    </w:p>
    <w:p>
      <w:pPr>
        <w:ind w:right="9120" w:firstLine="4"/>
        <w:spacing w:after="0" w:line="385" w:lineRule="auto"/>
        <w:tabs>
          <w:tab w:leader="none" w:pos="193"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Nature of the Business </w:t>
      </w:r>
      <w:r>
        <w:rPr>
          <w:rFonts w:ascii="Arial" w:cs="Arial" w:eastAsia="Arial" w:hAnsi="Arial"/>
          <w:sz w:val="17"/>
          <w:szCs w:val="17"/>
          <w:b w:val="1"/>
          <w:bCs w:val="1"/>
          <w:i w:val="1"/>
          <w:iCs w:val="1"/>
          <w:color w:val="auto"/>
        </w:rPr>
        <w:t>Organization</w:t>
      </w:r>
    </w:p>
    <w:p>
      <w:pPr>
        <w:spacing w:after="0" w:line="1"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Sionna Therapeutics, Inc. (the “Company”), formerly known as Sling Therapeutics, Inc., was incorporated in Delaware in August 2019 and is headquartered in Waltham, Massachusetts. The Company is a clinical-stage biopharmaceutical company on a mission to revolutionize the current treatment paradigm for cystic fibrosis (“CF”) patients by developing novel medicines that normalize the function of the cystic fibrosis transmembrane conductance regulator (“CFTR”) protein to deliver clinically meaningful benefit to CF patients.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18" w:lineRule="exact"/>
        <w:rPr>
          <w:sz w:val="20"/>
          <w:szCs w:val="20"/>
          <w:color w:val="auto"/>
        </w:rPr>
      </w:pPr>
    </w:p>
    <w:p>
      <w:pPr>
        <w:ind w:right="40" w:firstLine="627"/>
        <w:spacing w:after="0" w:line="261" w:lineRule="auto"/>
        <w:rPr>
          <w:sz w:val="20"/>
          <w:szCs w:val="20"/>
          <w:color w:val="auto"/>
        </w:rPr>
      </w:pPr>
      <w:r>
        <w:rPr>
          <w:rFonts w:ascii="Arial" w:cs="Arial" w:eastAsia="Arial" w:hAnsi="Arial"/>
          <w:sz w:val="17"/>
          <w:szCs w:val="17"/>
          <w:color w:val="auto"/>
        </w:rPr>
        <w:t>The Company is subject to a number of risks common to other companies in the biotechnology industry, including but not limited to, development by competitors of new technological innovations, risks of failure of preclinical studies and clinical trials, risks related to development and manufacturing of product candidates, obtaining regulatory approval for product candidates, competition from substitute products, the need to successfully commercialize and gain market acceptance of its product candidates, protection of proprietary technology, dependence on key personnel, the ability to attract and retain qualified employees, reliance on third party organizations, compliance with government regulations, and the need to obtain additional financing. Product candidates currently under development will require significant additional research and development efforts, including extensive clinical testing and regulatory approval, prior to commercialization. These efforts will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222" w:lineRule="exact"/>
        <w:rPr>
          <w:sz w:val="20"/>
          <w:szCs w:val="20"/>
          <w:color w:val="auto"/>
        </w:rPr>
      </w:pPr>
    </w:p>
    <w:p>
      <w:pPr>
        <w:ind w:right="60" w:firstLine="627"/>
        <w:spacing w:after="0" w:line="264" w:lineRule="auto"/>
        <w:rPr>
          <w:sz w:val="20"/>
          <w:szCs w:val="20"/>
          <w:color w:val="auto"/>
        </w:rPr>
      </w:pPr>
      <w:r>
        <w:rPr>
          <w:rFonts w:ascii="Arial" w:cs="Arial" w:eastAsia="Arial" w:hAnsi="Arial"/>
          <w:sz w:val="17"/>
          <w:szCs w:val="17"/>
          <w:color w:val="auto"/>
        </w:rPr>
        <w:t>In February 2025, the Company completed its initial public offering ("IPO"), in which the Company sold an aggregate of 10,588,233 shares of its common stock at a public offering price of $18.00 per share and sold an additional 1,588,234 shares of its common stock to the underwriters of the IPO pursuant to the full exercise of their option to purchase additional shares, resulting in aggregate net proceeds of approximately $199.6 million, after deducting underwriter discounts, commissions and other offering expenses. Immediately prior to the closing of the IPO, the Company's outstanding redeemable convertible preferred stock automatically converted into 27,149,206 shares of common stock. Following the closing of the IPO, no shares of redeemable convertible preferred stock were outstanding.</w:t>
      </w:r>
    </w:p>
    <w:p>
      <w:pPr>
        <w:spacing w:after="0" w:line="172" w:lineRule="exact"/>
        <w:rPr>
          <w:sz w:val="20"/>
          <w:szCs w:val="20"/>
          <w:color w:val="auto"/>
        </w:rPr>
      </w:pPr>
    </w:p>
    <w:p>
      <w:pPr>
        <w:ind w:right="80" w:firstLine="627"/>
        <w:spacing w:after="0" w:line="298" w:lineRule="auto"/>
        <w:rPr>
          <w:sz w:val="20"/>
          <w:szCs w:val="20"/>
          <w:color w:val="auto"/>
        </w:rPr>
      </w:pPr>
      <w:r>
        <w:rPr>
          <w:rFonts w:ascii="Arial" w:cs="Arial" w:eastAsia="Arial" w:hAnsi="Arial"/>
          <w:sz w:val="17"/>
          <w:szCs w:val="17"/>
          <w:color w:val="auto"/>
        </w:rPr>
        <w:t>In connection with the closing of the IPO, the Company's certificate of incorporation was amended and restated to authorize 500,000,000 shares of common stock, par value $0.001 per share, and 10,000,000 shares of preferred stock, par value $0.001 per share.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Going Concern</w:t>
      </w:r>
    </w:p>
    <w:p>
      <w:pPr>
        <w:spacing w:after="0" w:line="118" w:lineRule="exact"/>
        <w:rPr>
          <w:sz w:val="20"/>
          <w:szCs w:val="20"/>
          <w:color w:val="auto"/>
        </w:rPr>
      </w:pPr>
    </w:p>
    <w:p>
      <w:pPr>
        <w:ind w:right="80" w:firstLine="627"/>
        <w:spacing w:after="0" w:line="277" w:lineRule="auto"/>
        <w:rPr>
          <w:sz w:val="20"/>
          <w:szCs w:val="20"/>
          <w:color w:val="auto"/>
        </w:rPr>
      </w:pPr>
      <w:r>
        <w:rPr>
          <w:rFonts w:ascii="Arial" w:cs="Arial" w:eastAsia="Arial" w:hAnsi="Arial"/>
          <w:sz w:val="17"/>
          <w:szCs w:val="17"/>
          <w:color w:val="auto"/>
        </w:rPr>
        <w:t>The Company has incurred annual net operating losses and has generated negative operating cash flows in every year since inception. As of December 31, 2025, the Company had an accumulated deficit of $256.4 million. The Company expects its operating losses to continue into the foreseeable future as it continues to pursue its research and development efforts.</w:t>
      </w:r>
    </w:p>
    <w:p>
      <w:pPr>
        <w:spacing w:after="0" w:line="159" w:lineRule="exact"/>
        <w:rPr>
          <w:sz w:val="20"/>
          <w:szCs w:val="20"/>
          <w:color w:val="auto"/>
        </w:rPr>
      </w:pPr>
    </w:p>
    <w:p>
      <w:pPr>
        <w:ind w:right="20" w:firstLine="627"/>
        <w:spacing w:after="0" w:line="270" w:lineRule="auto"/>
        <w:rPr>
          <w:sz w:val="20"/>
          <w:szCs w:val="20"/>
          <w:color w:val="auto"/>
        </w:rPr>
      </w:pPr>
      <w:r>
        <w:rPr>
          <w:rFonts w:ascii="Arial" w:cs="Arial" w:eastAsia="Arial" w:hAnsi="Arial"/>
          <w:sz w:val="17"/>
          <w:szCs w:val="17"/>
          <w:color w:val="auto"/>
        </w:rPr>
        <w:t>The Company has evaluated whether there are conditions and events, considered in the aggregate, that raise substantial doubt about the Company’s ability to continue as a going concern within one year after the date that these consolidated financial statements are issued. The Company believes that its existing cash, cash equivalents, and marketable securities of $310.3 million as of December 31, 2025 will be sufficient to allow the Company to fund operations beyond twelve months from the date of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7380" w:firstLine="4"/>
        <w:spacing w:after="0" w:line="385" w:lineRule="auto"/>
        <w:tabs>
          <w:tab w:leader="none" w:pos="193"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 and Consolidation</w:t>
      </w:r>
    </w:p>
    <w:p>
      <w:pPr>
        <w:spacing w:after="0" w:line="1" w:lineRule="exact"/>
        <w:rPr>
          <w:sz w:val="20"/>
          <w:szCs w:val="20"/>
          <w:color w:val="auto"/>
        </w:rPr>
      </w:pPr>
    </w:p>
    <w:p>
      <w:pPr>
        <w:ind w:right="160" w:firstLine="627"/>
        <w:spacing w:after="0" w:line="270" w:lineRule="auto"/>
        <w:rPr>
          <w:sz w:val="20"/>
          <w:szCs w:val="20"/>
          <w:color w:val="auto"/>
        </w:rPr>
      </w:pPr>
      <w:r>
        <w:rPr>
          <w:rFonts w:ascii="Arial" w:cs="Arial" w:eastAsia="Arial" w:hAnsi="Arial"/>
          <w:sz w:val="17"/>
          <w:szCs w:val="17"/>
          <w:color w:val="auto"/>
        </w:rPr>
        <w:t>The accompanying consolidated financial statements have been prepared in conformity with accounting principles generally accepted in the United States of America (“GAAP”) as found in the Accounting Standards Codification (“ASC”) of the Financial Accounting Standards Board (“FASB”). The accompanying consolidated financial statements include the accounts of Sionna Therapeutics, Inc., and its wholly owned subsidiary, Sionna Therapeutics Securities Corporation. All intercompany balances and transactions have been eliminated in consolidation.</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8" w:lineRule="exact"/>
        <w:rPr>
          <w:sz w:val="20"/>
          <w:szCs w:val="20"/>
          <w:color w:val="auto"/>
        </w:rPr>
      </w:pPr>
    </w:p>
    <w:p>
      <w:pPr>
        <w:ind w:right="80" w:firstLine="627"/>
        <w:spacing w:after="0" w:line="26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judgments, assumptions, and estimates that affect the reported amounts of assets, liabilities and expenses and the related disclosure of contingent assets and liabilities as of the date of the consolidated financial statements and the reported amounts of expenses during the reporting periods. Significant estimates and assumptions reflected within the consolidated financial statements include, but are not limited to, research and development expenses and accruals and the valuation of the Company’s common shares in connection with the accounting for stock-based awards. The Company bases its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On an ongoing basis, management evaluates its estimates, as there are changes in circumstances and facts. Changes in estimates are recorded in the period in which they become known. Actual results may differ from those estimates or assumptions.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18" w:lineRule="exact"/>
        <w:rPr>
          <w:sz w:val="20"/>
          <w:szCs w:val="20"/>
          <w:color w:val="auto"/>
        </w:rPr>
      </w:pPr>
    </w:p>
    <w:p>
      <w:pPr>
        <w:ind w:right="440" w:firstLine="627"/>
        <w:spacing w:after="0" w:line="298" w:lineRule="auto"/>
        <w:rPr>
          <w:sz w:val="20"/>
          <w:szCs w:val="20"/>
          <w:color w:val="auto"/>
        </w:rPr>
      </w:pPr>
      <w:r>
        <w:rPr>
          <w:rFonts w:ascii="Arial" w:cs="Arial" w:eastAsia="Arial" w:hAnsi="Arial"/>
          <w:sz w:val="17"/>
          <w:szCs w:val="17"/>
          <w:color w:val="auto"/>
        </w:rPr>
        <w:t>The Company considers all highly liquid investments with original maturities of ninety days or less at the time of purchase to be cash equivalents. Cash and cash equivalents typically include cash held in deposit accounts and money market funds.</w:t>
      </w:r>
    </w:p>
    <w:p>
      <w:pPr>
        <w:spacing w:after="0" w:line="141" w:lineRule="exact"/>
        <w:rPr>
          <w:sz w:val="20"/>
          <w:szCs w:val="20"/>
          <w:color w:val="auto"/>
        </w:rPr>
      </w:pPr>
    </w:p>
    <w:p>
      <w:pPr>
        <w:ind w:right="100" w:firstLine="627"/>
        <w:spacing w:after="0" w:line="270" w:lineRule="auto"/>
        <w:rPr>
          <w:sz w:val="20"/>
          <w:szCs w:val="20"/>
          <w:color w:val="auto"/>
        </w:rPr>
      </w:pPr>
      <w:r>
        <w:rPr>
          <w:rFonts w:ascii="Arial" w:cs="Arial" w:eastAsia="Arial" w:hAnsi="Arial"/>
          <w:sz w:val="17"/>
          <w:szCs w:val="17"/>
          <w:color w:val="auto"/>
        </w:rPr>
        <w:t>Cash accounts with any type of restriction are classified as restricted cash. As of December 31, 2025 and 2024, the Company had restricted cash of $1.0 million held to secure a letter of credit associated with the Company’s leased corporate headquarters. The restricted funds are maintained in a money market account. The Company classified this amount as restricted cash in the accompanying consolidated balance sheets based on the release date of the restrictions.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18" w:lineRule="exact"/>
        <w:rPr>
          <w:sz w:val="20"/>
          <w:szCs w:val="20"/>
          <w:color w:val="auto"/>
        </w:rPr>
      </w:pPr>
    </w:p>
    <w:p>
      <w:pPr>
        <w:ind w:right="140" w:firstLine="627"/>
        <w:spacing w:after="0" w:line="277" w:lineRule="auto"/>
        <w:rPr>
          <w:sz w:val="20"/>
          <w:szCs w:val="20"/>
          <w:color w:val="auto"/>
        </w:rPr>
      </w:pPr>
      <w:r>
        <w:rPr>
          <w:rFonts w:ascii="Arial" w:cs="Arial" w:eastAsia="Arial" w:hAnsi="Arial"/>
          <w:sz w:val="17"/>
          <w:szCs w:val="17"/>
          <w:color w:val="auto"/>
        </w:rPr>
        <w:t>The Company classifies marketable securities with a remaining maturity greater than three months at the time of purchase and less than one year from the balance sheet date as current. Marketable securities are classified as long-term assets on the consolidated balance sheets if the maturity exceeds one year, and the Company does not intend to utilize the marketable securities to fund current operations.</w:t>
      </w:r>
    </w:p>
    <w:p>
      <w:pPr>
        <w:spacing w:after="0" w:line="159"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The Company classifies all of its investments as available-for-sale securities. Accordingly, these investments are recorded at fair value. Realized gains and losses and amortization of discounts and premiums are included in interest income, which is a component of other income. Unrealized gains and losses on available-for-sale securities are included in accumulated other comprehensive gain as a component of stockholders’ equity (deficit) until realized. Interest receivables earned on marketable securities are recorded as a component of prepaid expenses and other current assets.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 w:firstLine="627"/>
        <w:spacing w:after="0" w:line="263" w:lineRule="auto"/>
        <w:rPr>
          <w:sz w:val="20"/>
          <w:szCs w:val="20"/>
          <w:color w:val="auto"/>
        </w:rPr>
      </w:pPr>
      <w:r>
        <w:rPr>
          <w:rFonts w:ascii="Arial" w:cs="Arial" w:eastAsia="Arial" w:hAnsi="Arial"/>
          <w:sz w:val="17"/>
          <w:szCs w:val="17"/>
          <w:color w:val="auto"/>
        </w:rPr>
        <w:t>At each balance sheet date, the Company assesses available-for-sale debt securities in an unrealized loss position to determine whether the unrealized loss or any potential credit losses should be recognized. The Company evaluates whether it intends to sell, or it is more likely than not that it will be required to sell the security before recovery of its amortized cost basis. The Company also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There have been no impairment or credit losses recognized during any of the periods presented.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 and Off-Balance Sheet Risk</w:t>
      </w:r>
    </w:p>
    <w:p>
      <w:pPr>
        <w:spacing w:after="0" w:line="118" w:lineRule="exact"/>
        <w:rPr>
          <w:sz w:val="20"/>
          <w:szCs w:val="20"/>
          <w:color w:val="auto"/>
        </w:rPr>
      </w:pPr>
    </w:p>
    <w:p>
      <w:pPr>
        <w:ind w:right="120" w:firstLine="627"/>
        <w:spacing w:after="0" w:line="262" w:lineRule="auto"/>
        <w:rPr>
          <w:sz w:val="20"/>
          <w:szCs w:val="20"/>
          <w:color w:val="auto"/>
        </w:rPr>
      </w:pPr>
      <w:r>
        <w:rPr>
          <w:rFonts w:ascii="Arial" w:cs="Arial" w:eastAsia="Arial" w:hAnsi="Arial"/>
          <w:sz w:val="17"/>
          <w:szCs w:val="17"/>
          <w:color w:val="auto"/>
        </w:rPr>
        <w:t>Financial instruments that potentially subject the Company to significant concentration of credit risk consist primarily of cash, cash equivalents and marketable securities. Periodically,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 The Company regularly invests excess cash with major financial institutions in money market funds, U.S. Treasury securities and government agency securities, corporate bonds, and commercial paper, all of which can be readily purchased and sold using established markets. The Company believes that the market risk arising from its holdings of these financial instruments is mitigated based on the fact that many of these securities are either government-backed or of high credit rating.</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8"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Level 1</w:t>
      </w:r>
      <w:r>
        <w:rPr>
          <w:rFonts w:ascii="Arial" w:cs="Arial" w:eastAsia="Arial" w:hAnsi="Arial"/>
          <w:sz w:val="17"/>
          <w:szCs w:val="17"/>
          <w:color w:val="auto"/>
        </w:rPr>
        <w:t>—Quoted market prices in active markets for identical assets or liabilities.</w:t>
      </w:r>
    </w:p>
    <w:p>
      <w:pPr>
        <w:spacing w:after="0" w:line="118" w:lineRule="exact"/>
        <w:rPr>
          <w:sz w:val="20"/>
          <w:szCs w:val="20"/>
          <w:color w:val="auto"/>
        </w:rPr>
      </w:pPr>
    </w:p>
    <w:p>
      <w:pPr>
        <w:ind w:left="640" w:right="20"/>
        <w:spacing w:after="0" w:line="298" w:lineRule="auto"/>
        <w:rPr>
          <w:sz w:val="20"/>
          <w:szCs w:val="20"/>
          <w:color w:val="auto"/>
        </w:rPr>
      </w:pPr>
      <w:r>
        <w:rPr>
          <w:rFonts w:ascii="Arial" w:cs="Arial" w:eastAsia="Arial" w:hAnsi="Arial"/>
          <w:sz w:val="17"/>
          <w:szCs w:val="17"/>
          <w:b w:val="1"/>
          <w:bCs w:val="1"/>
          <w:i w:val="1"/>
          <w:iCs w:val="1"/>
          <w:color w:val="auto"/>
        </w:rPr>
        <w:t>Level 2</w:t>
      </w:r>
      <w:r>
        <w:rPr>
          <w:rFonts w:ascii="Arial" w:cs="Arial" w:eastAsia="Arial" w:hAnsi="Arial"/>
          <w:sz w:val="17"/>
          <w:szCs w:val="17"/>
          <w:color w:val="auto"/>
        </w:rPr>
        <w:t>—Inputs other than Level 1 inputs that are either directly or indirectly observable, such as quoted market prices, interest rates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yield curves.</w:t>
      </w:r>
    </w:p>
    <w:p>
      <w:pPr>
        <w:spacing w:after="0" w:line="37" w:lineRule="exact"/>
        <w:rPr>
          <w:sz w:val="20"/>
          <w:szCs w:val="20"/>
          <w:color w:val="auto"/>
        </w:rPr>
      </w:pPr>
    </w:p>
    <w:p>
      <w:pPr>
        <w:ind w:left="640" w:right="40"/>
        <w:spacing w:after="0" w:line="277" w:lineRule="auto"/>
        <w:rPr>
          <w:sz w:val="20"/>
          <w:szCs w:val="20"/>
          <w:color w:val="auto"/>
        </w:rPr>
      </w:pPr>
      <w:r>
        <w:rPr>
          <w:rFonts w:ascii="Arial" w:cs="Arial" w:eastAsia="Arial" w:hAnsi="Arial"/>
          <w:sz w:val="17"/>
          <w:szCs w:val="17"/>
          <w:b w:val="1"/>
          <w:bCs w:val="1"/>
          <w:i w:val="1"/>
          <w:iCs w:val="1"/>
          <w:color w:val="auto"/>
        </w:rPr>
        <w:t>Level 3</w:t>
      </w:r>
      <w:r>
        <w:rPr>
          <w:rFonts w:ascii="Arial" w:cs="Arial" w:eastAsia="Arial" w:hAnsi="Arial"/>
          <w:sz w:val="17"/>
          <w:szCs w:val="17"/>
          <w:color w:val="auto"/>
        </w:rPr>
        <w:t>—Unobservable inputs for the asset or liability (i.e., supported by little or no market activity). Level 3 inputs include management’s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assumptions about the assumptions that market participants would use in pricing the asset or liability (including assumptions about risk).</w:t>
      </w:r>
    </w:p>
    <w:p>
      <w:pPr>
        <w:spacing w:after="0" w:line="159"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To the extent that the valuation is based on models or inputs that are less observable or unobservable in the market, the determination of the fair value requires more judgment. Accordingly, the degree of judgment exercised by the Company in determining fair value is greatest for instruments categorized in Level 3. The Company does not currently have recurring fair value measurements classified within Level 3.</w:t>
      </w:r>
    </w:p>
    <w:p>
      <w:pPr>
        <w:spacing w:after="0" w:line="165" w:lineRule="exact"/>
        <w:rPr>
          <w:sz w:val="20"/>
          <w:szCs w:val="20"/>
          <w:color w:val="auto"/>
        </w:rPr>
      </w:pPr>
    </w:p>
    <w:p>
      <w:pPr>
        <w:ind w:right="40" w:firstLine="627"/>
        <w:spacing w:after="0" w:line="298" w:lineRule="auto"/>
        <w:rPr>
          <w:sz w:val="20"/>
          <w:szCs w:val="20"/>
          <w:color w:val="auto"/>
        </w:rPr>
      </w:pPr>
      <w:r>
        <w:rPr>
          <w:rFonts w:ascii="Arial" w:cs="Arial" w:eastAsia="Arial" w:hAnsi="Arial"/>
          <w:sz w:val="17"/>
          <w:szCs w:val="17"/>
          <w:color w:val="auto"/>
        </w:rPr>
        <w:t>The carrying values of prepaid expenses and other current assets, accounts payable and accrued expenses approximate their fair values due to the short-term nature of these assets and liabilities.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8" w:lineRule="exact"/>
        <w:rPr>
          <w:sz w:val="20"/>
          <w:szCs w:val="20"/>
          <w:color w:val="auto"/>
        </w:rPr>
      </w:pPr>
    </w:p>
    <w:p>
      <w:pPr>
        <w:ind w:right="500" w:firstLine="627"/>
        <w:spacing w:after="0" w:line="277" w:lineRule="auto"/>
        <w:rPr>
          <w:sz w:val="20"/>
          <w:szCs w:val="20"/>
          <w:color w:val="auto"/>
        </w:rPr>
      </w:pPr>
      <w:r>
        <w:rPr>
          <w:rFonts w:ascii="Arial" w:cs="Arial" w:eastAsia="Arial" w:hAnsi="Arial"/>
          <w:sz w:val="17"/>
          <w:szCs w:val="17"/>
          <w:color w:val="auto"/>
        </w:rPr>
        <w:t>Property and equipment is stated at cost net of accumulated depreciation. Costs of major additions and betterments are capitalized. Maintenance and repairs to an asset that do not improve or extend its life are expensed in the period incurred. Depreciation expense is recognized using the straight-line method over the estimated useful life of each asset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480" w:type="dxa"/>
            <w:vAlign w:val="bottom"/>
            <w:tcBorders>
              <w:bottom w:val="single" w:sz="8" w:color="CCEEFF"/>
            </w:tcBorders>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Estimated Useful Life (in years)</w:t>
            </w:r>
          </w:p>
        </w:tc>
      </w:tr>
      <w:tr>
        <w:trPr>
          <w:trHeight w:val="24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Lab equipment</w:t>
            </w:r>
          </w:p>
        </w:tc>
        <w:tc>
          <w:tcPr>
            <w:tcW w:w="4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5</w:t>
            </w:r>
          </w:p>
        </w:tc>
      </w:tr>
      <w:tr>
        <w:trPr>
          <w:trHeight w:val="239"/>
        </w:trPr>
        <w:tc>
          <w:tcPr>
            <w:tcW w:w="6480" w:type="dxa"/>
            <w:vAlign w:val="bottom"/>
          </w:tcPr>
          <w:p>
            <w:pPr>
              <w:ind w:left="20"/>
              <w:spacing w:after="0"/>
              <w:rPr>
                <w:sz w:val="20"/>
                <w:szCs w:val="20"/>
                <w:color w:val="auto"/>
              </w:rPr>
            </w:pPr>
            <w:r>
              <w:rPr>
                <w:rFonts w:ascii="Arial" w:cs="Arial" w:eastAsia="Arial" w:hAnsi="Arial"/>
                <w:sz w:val="17"/>
                <w:szCs w:val="17"/>
                <w:color w:val="auto"/>
              </w:rPr>
              <w:t>Furniture &amp; fixtures</w:t>
            </w:r>
          </w:p>
        </w:tc>
        <w:tc>
          <w:tcPr>
            <w:tcW w:w="4760" w:type="dxa"/>
            <w:vAlign w:val="bottom"/>
          </w:tcPr>
          <w:p>
            <w:pPr>
              <w:jc w:val="center"/>
              <w:spacing w:after="0"/>
              <w:rPr>
                <w:sz w:val="20"/>
                <w:szCs w:val="20"/>
                <w:color w:val="auto"/>
              </w:rPr>
            </w:pPr>
            <w:r>
              <w:rPr>
                <w:rFonts w:ascii="Arial" w:cs="Arial" w:eastAsia="Arial" w:hAnsi="Arial"/>
                <w:sz w:val="17"/>
                <w:szCs w:val="17"/>
                <w:color w:val="auto"/>
                <w:w w:val="84"/>
              </w:rPr>
              <w:t>5</w:t>
            </w:r>
          </w:p>
        </w:tc>
      </w:tr>
      <w:tr>
        <w:trPr>
          <w:trHeight w:val="22"/>
        </w:trPr>
        <w:tc>
          <w:tcPr>
            <w:tcW w:w="6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4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Hardware &amp; software</w:t>
            </w:r>
          </w:p>
        </w:tc>
        <w:tc>
          <w:tcPr>
            <w:tcW w:w="4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3</w:t>
            </w:r>
          </w:p>
        </w:tc>
      </w:tr>
      <w:tr>
        <w:trPr>
          <w:trHeight w:val="239"/>
        </w:trPr>
        <w:tc>
          <w:tcPr>
            <w:tcW w:w="648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4760" w:type="dxa"/>
            <w:vAlign w:val="bottom"/>
          </w:tcPr>
          <w:p>
            <w:pPr>
              <w:jc w:val="center"/>
              <w:spacing w:after="0"/>
              <w:rPr>
                <w:sz w:val="20"/>
                <w:szCs w:val="20"/>
                <w:color w:val="auto"/>
              </w:rPr>
            </w:pPr>
            <w:r>
              <w:rPr>
                <w:rFonts w:ascii="Arial" w:cs="Arial" w:eastAsia="Arial" w:hAnsi="Arial"/>
                <w:sz w:val="17"/>
                <w:szCs w:val="17"/>
                <w:color w:val="auto"/>
              </w:rPr>
              <w:t>Shorter of useful life or remaining lease term</w:t>
            </w:r>
          </w:p>
        </w:tc>
      </w:tr>
    </w:tbl>
    <w:p>
      <w:pPr>
        <w:spacing w:after="0" w:line="306" w:lineRule="exact"/>
        <w:rPr>
          <w:sz w:val="20"/>
          <w:szCs w:val="20"/>
          <w:color w:val="auto"/>
        </w:rPr>
      </w:pPr>
    </w:p>
    <w:p>
      <w:pPr>
        <w:ind w:right="100" w:firstLine="627"/>
        <w:spacing w:after="0" w:line="277" w:lineRule="auto"/>
        <w:rPr>
          <w:sz w:val="20"/>
          <w:szCs w:val="20"/>
          <w:color w:val="auto"/>
        </w:rPr>
      </w:pPr>
      <w:r>
        <w:rPr>
          <w:rFonts w:ascii="Arial" w:cs="Arial" w:eastAsia="Arial" w:hAnsi="Arial"/>
          <w:sz w:val="17"/>
          <w:szCs w:val="17"/>
          <w:color w:val="auto"/>
        </w:rPr>
        <w:t>When an item is sold or retired, the costs and related accumulated depreciation are eliminated, and the resulting gain or loss, if any, is credited or charged to the consolidated statement of operations and comprehensive loss. Property and equipment held for disposal are carried at fair value less costs to sell.</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8" w:lineRule="exact"/>
        <w:rPr>
          <w:sz w:val="20"/>
          <w:szCs w:val="20"/>
          <w:color w:val="auto"/>
        </w:rPr>
      </w:pPr>
    </w:p>
    <w:p>
      <w:pPr>
        <w:ind w:right="240" w:firstLine="627"/>
        <w:spacing w:after="0" w:line="263" w:lineRule="auto"/>
        <w:rPr>
          <w:sz w:val="20"/>
          <w:szCs w:val="20"/>
          <w:color w:val="auto"/>
        </w:rPr>
      </w:pPr>
      <w:r>
        <w:rPr>
          <w:rFonts w:ascii="Arial" w:cs="Arial" w:eastAsia="Arial" w:hAnsi="Arial"/>
          <w:sz w:val="17"/>
          <w:szCs w:val="17"/>
          <w:color w:val="auto"/>
        </w:rPr>
        <w:t>Long-lived assets consist primarily of property and equipment and right-of-use assets.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In the event that such cash flows are not expected to be sufficient to recover the carrying amount of the assets, the assets are written down to their fair values. The Company has not recognized any impairment charges during the years ended December 31, 2025 and 2024.</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8" w:lineRule="exact"/>
        <w:rPr>
          <w:sz w:val="20"/>
          <w:szCs w:val="20"/>
          <w:color w:val="auto"/>
        </w:rPr>
      </w:pPr>
    </w:p>
    <w:p>
      <w:pPr>
        <w:ind w:right="60" w:firstLine="627"/>
        <w:spacing w:after="0" w:line="262" w:lineRule="auto"/>
        <w:rPr>
          <w:sz w:val="20"/>
          <w:szCs w:val="20"/>
          <w:color w:val="auto"/>
        </w:rPr>
      </w:pPr>
      <w:r>
        <w:rPr>
          <w:rFonts w:ascii="Arial" w:cs="Arial" w:eastAsia="Arial" w:hAnsi="Arial"/>
          <w:sz w:val="17"/>
          <w:szCs w:val="17"/>
          <w:color w:val="auto"/>
        </w:rPr>
        <w:t>At the inception of an arrangement the Company determines whether the arrangement contains a lease. Operating leases are included in operating lease right-of-use lease asset (“ROU asset”), operating lease liability, current, and operating lease liability, noncurrent, on the Company’s consolidated balance sheets. Assets subject to finance leases are included in property and equipment, and the related lease obligation is included in other current liabilities and other long-term liabilities on the Company’s consolidated balance sheets. Lease expense for operating leases is recognized on a straight-line basis over the lease term as an operating expense. As of December 31, 2025 and 2024, the Company did not have any finance leases. The Company has elected the short-term lease recognition exemption for short-term leases, which allows the Company not to recognize lease liabilities and ROU assets on the consolidated balance sheets for leases with an original term of twelve months or less.</w:t>
      </w:r>
    </w:p>
    <w:p>
      <w:pPr>
        <w:spacing w:after="0" w:line="386" w:lineRule="exact"/>
        <w:rPr>
          <w:sz w:val="20"/>
          <w:szCs w:val="20"/>
          <w:color w:val="auto"/>
        </w:rPr>
      </w:pPr>
    </w:p>
    <w:p>
      <w:pPr>
        <w:ind w:right="60" w:firstLine="627"/>
        <w:spacing w:after="0" w:line="260" w:lineRule="auto"/>
        <w:rPr>
          <w:sz w:val="20"/>
          <w:szCs w:val="20"/>
          <w:color w:val="auto"/>
        </w:rPr>
      </w:pPr>
      <w:r>
        <w:rPr>
          <w:rFonts w:ascii="Arial" w:cs="Arial" w:eastAsia="Arial" w:hAnsi="Arial"/>
          <w:sz w:val="17"/>
          <w:szCs w:val="17"/>
          <w:color w:val="auto"/>
        </w:rPr>
        <w:t>ROU assets represent the Company’s right to use an underlying asset for the lease term, and lease obligations represent the Company’s obligation to make lease payments arising from the lease. Operating lease liabilities and their corresponding ROU assets are initially recognized based on the present value of lease payments over the expected remaining lease term. When determining the lease term, the Company includes options to extend or terminate the lease when it is reasonably certain that the Company will exercise the option. Certain adjustments to the ROU asset may be required for items such as incentives received from the lessor. The interest rate implicit in lease contracts is typically not readily determinable. Therefore, the Company utilizes its incremental borrowing rate to discount lease payments. The incremental borrowing rate reflects the fixed rate at which the Company could borrow, on a collateralized basis, the amount of the lease payments in the same currency, for a similar term, in a similar economic environment. Leases generally provide for payments of non-lease components, such as common area maintenance, real estate taxes and other costs associated with the leased property. The Company accounts for non-lease components together with lease components. Variable lease payments, such as periodic adjustments for inflation, reimbursement of real estate taxes, and variable common area maintenance are expensed as incurred as variable lease costs and are not recorded on the consolidated balance sheets.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20" w:firstLine="627"/>
        <w:spacing w:after="0" w:line="298" w:lineRule="auto"/>
        <w:rPr>
          <w:sz w:val="20"/>
          <w:szCs w:val="20"/>
          <w:color w:val="auto"/>
        </w:rPr>
      </w:pPr>
      <w:r>
        <w:rPr>
          <w:rFonts w:ascii="Arial" w:cs="Arial" w:eastAsia="Arial" w:hAnsi="Arial"/>
          <w:sz w:val="17"/>
          <w:szCs w:val="17"/>
          <w:color w:val="auto"/>
        </w:rPr>
        <w:t>Sublease income is recognized on a straight-line basis over the term of the sublease agreement and is recorded within Other Income on the consolidated statements of operations and comprehensive loss.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 and Accruals</w:t>
      </w:r>
    </w:p>
    <w:p>
      <w:pPr>
        <w:spacing w:after="0" w:line="118" w:lineRule="exact"/>
        <w:rPr>
          <w:sz w:val="20"/>
          <w:szCs w:val="20"/>
          <w:color w:val="auto"/>
        </w:rPr>
      </w:pPr>
    </w:p>
    <w:p>
      <w:pPr>
        <w:ind w:right="380" w:firstLine="627"/>
        <w:spacing w:after="0" w:line="262" w:lineRule="auto"/>
        <w:rPr>
          <w:sz w:val="20"/>
          <w:szCs w:val="20"/>
          <w:color w:val="auto"/>
        </w:rPr>
      </w:pPr>
      <w:r>
        <w:rPr>
          <w:rFonts w:ascii="Arial" w:cs="Arial" w:eastAsia="Arial" w:hAnsi="Arial"/>
          <w:sz w:val="17"/>
          <w:szCs w:val="17"/>
          <w:color w:val="auto"/>
        </w:rPr>
        <w:t>Research and development costs include (i) employee-related expenses, including salaries, benefits, and stock-based compensation expense; (ii) external research and development expenses incurred under arrangements with third parties, such as contract research organizations (“CRO”) agreements, contract development and manufacturing organizations (“CDMOs”), consultants and scientific advisors;</w:t>
      </w:r>
    </w:p>
    <w:p>
      <w:pPr>
        <w:spacing w:after="0" w:line="2" w:lineRule="exact"/>
        <w:rPr>
          <w:sz w:val="20"/>
          <w:szCs w:val="20"/>
          <w:color w:val="auto"/>
        </w:rPr>
      </w:pPr>
    </w:p>
    <w:p>
      <w:pPr>
        <w:ind w:right="800" w:firstLine="4"/>
        <w:spacing w:after="0" w:line="278" w:lineRule="auto"/>
        <w:tabs>
          <w:tab w:leader="none" w:pos="2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costs associated with preclinical and clinical activities and (iv) lab supplies, lab expenses and an allocation of rent, depreciation, and infrastructure.</w:t>
      </w:r>
    </w:p>
    <w:p>
      <w:pPr>
        <w:spacing w:after="0" w:line="158" w:lineRule="exact"/>
        <w:rPr>
          <w:sz w:val="20"/>
          <w:szCs w:val="20"/>
          <w:color w:val="auto"/>
        </w:rPr>
      </w:pPr>
    </w:p>
    <w:p>
      <w:pPr>
        <w:ind w:right="60" w:firstLine="627"/>
        <w:spacing w:after="0" w:line="262" w:lineRule="auto"/>
        <w:rPr>
          <w:sz w:val="20"/>
          <w:szCs w:val="20"/>
          <w:color w:val="auto"/>
        </w:rPr>
      </w:pPr>
      <w:r>
        <w:rPr>
          <w:rFonts w:ascii="Arial" w:cs="Arial" w:eastAsia="Arial" w:hAnsi="Arial"/>
          <w:sz w:val="17"/>
          <w:szCs w:val="17"/>
          <w:color w:val="auto"/>
        </w:rPr>
        <w:t>The Company recognizes research and development costs in the periods in which they are incurred because these activities have no alternative future use. Typically, external expenses are recognized based on an evaluation of the progress to completion of specific tasks using information obtained from (i) internal personnel regarding the services that have been performed on the Company's behalf and estimating the associated cost incurred for those services or (ii) information provided to the Company by their service providers as of each reporting date. Advance payments for goods or services to be received in the future for use in research and development activities are recorded as prepaid expenses, which are expensed as the related goods are delivered or the services are performed, or when it is no longer expected that the goods will be delivered, or the services rendered. Significant judgments and estimates are made in determining accrued or prepaid expense balances at the end of any reporting period.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Acquisitions and Acquired In-Process Research and Development Expense</w:t>
      </w:r>
    </w:p>
    <w:p>
      <w:pPr>
        <w:spacing w:after="0" w:line="118" w:lineRule="exact"/>
        <w:rPr>
          <w:sz w:val="20"/>
          <w:szCs w:val="20"/>
          <w:color w:val="auto"/>
        </w:rPr>
      </w:pPr>
    </w:p>
    <w:p>
      <w:pPr>
        <w:ind w:right="20" w:firstLine="627"/>
        <w:spacing w:after="0" w:line="263" w:lineRule="auto"/>
        <w:rPr>
          <w:sz w:val="20"/>
          <w:szCs w:val="20"/>
          <w:color w:val="auto"/>
        </w:rPr>
      </w:pPr>
      <w:r>
        <w:rPr>
          <w:rFonts w:ascii="Arial" w:cs="Arial" w:eastAsia="Arial" w:hAnsi="Arial"/>
          <w:sz w:val="17"/>
          <w:szCs w:val="17"/>
          <w:color w:val="auto"/>
        </w:rPr>
        <w:t>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 process research and development (“IPR&amp;D”). Acquired IPR&amp;D that has no alternative future use as of the acquisition date is recognized as research and development expense as of the acquisition date. The costs to acquire IPR&amp;D are presented as operating activities in the consolidated statements of cash flows in the period acquired.</w:t>
      </w:r>
    </w:p>
    <w:p>
      <w:pPr>
        <w:spacing w:after="0" w:line="171" w:lineRule="exact"/>
        <w:rPr>
          <w:sz w:val="20"/>
          <w:szCs w:val="20"/>
          <w:color w:val="auto"/>
        </w:rPr>
      </w:pPr>
    </w:p>
    <w:p>
      <w:pPr>
        <w:ind w:right="20" w:firstLine="627"/>
        <w:spacing w:after="0" w:line="270" w:lineRule="auto"/>
        <w:rPr>
          <w:sz w:val="20"/>
          <w:szCs w:val="20"/>
          <w:color w:val="auto"/>
        </w:rPr>
      </w:pPr>
      <w:r>
        <w:rPr>
          <w:rFonts w:ascii="Arial" w:cs="Arial" w:eastAsia="Arial" w:hAnsi="Arial"/>
          <w:sz w:val="17"/>
          <w:szCs w:val="17"/>
          <w:color w:val="auto"/>
        </w:rPr>
        <w:t>The Company will recognize additional research and development expenses in the future if and when the Company becomes obligated to make contingent milestone or royalty payments which are governed by the terms of the agreements by which it acquired the IPR&amp;D assets. Developmental and regulatory milestone payments will be recorded when the milestone is achieved, and commercial milestones, such as sales-based milestone payments, and royalties will be recorded when the underlying sale(s) occur.</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Costs</w:t>
      </w:r>
    </w:p>
    <w:p>
      <w:pPr>
        <w:spacing w:after="0" w:line="118"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7"/>
          <w:szCs w:val="17"/>
          <w:color w:val="auto"/>
        </w:rPr>
        <w:t>All patent-related costs incurred in connection with filing and prosecuting patent applications such as direct application fees, and legal and consulting expenses are expensed as incurred due to the uncertainty about the recovery of the expenditure. Patent-related costs are classified as general and administrative expenses within the Company’s consolidated statements of operations and comprehensive loss.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18"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 and incremental costs associated with in-process equity financings as deferred offering costs until such financing is consummated. After consummation of the equity financing, these costs are recorded as a reduction of the proceeds generated as a result of the offering within additional paid-in capital. In the event that the equity financing is abandoned, the deferred offering costs will be expensed immediately as a charge to operating expenses in the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118" w:lineRule="exact"/>
        <w:rPr>
          <w:sz w:val="20"/>
          <w:szCs w:val="20"/>
          <w:color w:val="auto"/>
        </w:rPr>
      </w:pPr>
    </w:p>
    <w:p>
      <w:pPr>
        <w:ind w:right="220" w:firstLine="627"/>
        <w:spacing w:after="0" w:line="270" w:lineRule="auto"/>
        <w:rPr>
          <w:sz w:val="20"/>
          <w:szCs w:val="20"/>
          <w:color w:val="auto"/>
        </w:rPr>
      </w:pPr>
      <w:r>
        <w:rPr>
          <w:rFonts w:ascii="Arial" w:cs="Arial" w:eastAsia="Arial" w:hAnsi="Arial"/>
          <w:sz w:val="17"/>
          <w:szCs w:val="17"/>
          <w:color w:val="auto"/>
        </w:rPr>
        <w:t>Prior to the completion of the Company's IPO, the Company had outstanding convertible preferred stock, which was classified as temporary equity in the consolidated balance sheets. Upon the completion of the IPO, all outstanding shares of convertible preferred stock automatically converted into shares of common stock, and the carrying value of the convertible preferred stock was reclassified to stockholder's equity. As of December 31, 2025, no shares of convertible preferred stock were outstanding.</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Common Stock</w:t>
      </w:r>
    </w:p>
    <w:p>
      <w:pPr>
        <w:spacing w:after="0" w:line="118" w:lineRule="exact"/>
        <w:rPr>
          <w:sz w:val="20"/>
          <w:szCs w:val="20"/>
          <w:color w:val="auto"/>
        </w:rPr>
      </w:pPr>
    </w:p>
    <w:p>
      <w:pPr>
        <w:ind w:right="120" w:firstLine="627"/>
        <w:spacing w:after="0" w:line="262" w:lineRule="auto"/>
        <w:rPr>
          <w:sz w:val="20"/>
          <w:szCs w:val="20"/>
          <w:color w:val="auto"/>
        </w:rPr>
      </w:pPr>
      <w:r>
        <w:rPr>
          <w:rFonts w:ascii="Arial" w:cs="Arial" w:eastAsia="Arial" w:hAnsi="Arial"/>
          <w:sz w:val="17"/>
          <w:szCs w:val="17"/>
          <w:color w:val="auto"/>
        </w:rPr>
        <w:t xml:space="preserve">Prior to the completion of the Company's IPO, the Company determined the estimated fair value of common stock based on a number of objective and subjective factors, including, but not limited to, external market conditions affecting the biotechnology industry sector, the prices at which the Company sold shares of convertible preferred stock and the superior rights and preferences of securities senior to the Company’s common stock at the time, and the likelihood and potential timing of achieving a liquidity event, such as an initial public offering, in light of prevailing market conditions. The Company utilized valuation methodologies to estimate the fair value of common stock that were in accordance with the guidance outlined in the </w:t>
      </w:r>
      <w:r>
        <w:rPr>
          <w:rFonts w:ascii="Arial" w:cs="Arial" w:eastAsia="Arial" w:hAnsi="Arial"/>
          <w:sz w:val="17"/>
          <w:szCs w:val="17"/>
          <w:i w:val="1"/>
          <w:iCs w:val="1"/>
          <w:color w:val="auto"/>
        </w:rPr>
        <w:t>American Institute of Certified Public Accountants’ Accounting and Valuation Guide, Valuation of Privately-Held-Company Equity Securities Issued as Compensation</w:t>
      </w:r>
      <w:r>
        <w:rPr>
          <w:rFonts w:ascii="Arial" w:cs="Arial" w:eastAsia="Arial" w:hAnsi="Arial"/>
          <w:sz w:val="17"/>
          <w:szCs w:val="17"/>
          <w:color w:val="auto"/>
        </w:rPr>
        <w:t>, including the option pricing method and the probability-weighted expected return method.</w:t>
      </w:r>
      <w:r>
        <w:rPr>
          <w:rFonts w:ascii="Arial" w:cs="Arial" w:eastAsia="Arial" w:hAnsi="Arial"/>
          <w:sz w:val="17"/>
          <w:szCs w:val="17"/>
          <w:i w:val="1"/>
          <w:iCs w:val="1"/>
          <w:color w:val="auto"/>
        </w:rPr>
        <w:t xml:space="preserve"> </w:t>
      </w:r>
      <w:r>
        <w:rPr>
          <w:rFonts w:ascii="Arial" w:cs="Arial" w:eastAsia="Arial" w:hAnsi="Arial"/>
          <w:sz w:val="17"/>
          <w:szCs w:val="17"/>
          <w:color w:val="auto"/>
        </w:rPr>
        <w:t>These methodologies required the use of significant management judgment and assumptions.</w:t>
      </w:r>
    </w:p>
    <w:p>
      <w:pPr>
        <w:spacing w:after="0" w:line="173" w:lineRule="exact"/>
        <w:rPr>
          <w:sz w:val="20"/>
          <w:szCs w:val="20"/>
          <w:color w:val="auto"/>
        </w:rPr>
      </w:pPr>
    </w:p>
    <w:p>
      <w:pPr>
        <w:ind w:right="260" w:firstLine="627"/>
        <w:spacing w:after="0" w:line="298" w:lineRule="auto"/>
        <w:rPr>
          <w:sz w:val="20"/>
          <w:szCs w:val="20"/>
          <w:color w:val="auto"/>
        </w:rPr>
      </w:pPr>
      <w:r>
        <w:rPr>
          <w:rFonts w:ascii="Arial" w:cs="Arial" w:eastAsia="Arial" w:hAnsi="Arial"/>
          <w:sz w:val="17"/>
          <w:szCs w:val="17"/>
          <w:color w:val="auto"/>
        </w:rPr>
        <w:t>Since completion of the IPO, the fair value of the Company's common stock has been determined based on the closing market price of the Company's common stock on the date of equity grant.</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8" w:lineRule="exact"/>
        <w:rPr>
          <w:sz w:val="20"/>
          <w:szCs w:val="20"/>
          <w:color w:val="auto"/>
        </w:rPr>
      </w:pPr>
    </w:p>
    <w:p>
      <w:pPr>
        <w:ind w:right="60" w:firstLine="627"/>
        <w:spacing w:after="0" w:line="264" w:lineRule="auto"/>
        <w:rPr>
          <w:sz w:val="20"/>
          <w:szCs w:val="20"/>
          <w:color w:val="auto"/>
        </w:rPr>
      </w:pPr>
      <w:r>
        <w:rPr>
          <w:rFonts w:ascii="Arial" w:cs="Arial" w:eastAsia="Arial" w:hAnsi="Arial"/>
          <w:sz w:val="17"/>
          <w:szCs w:val="17"/>
          <w:color w:val="auto"/>
        </w:rPr>
        <w:t>The Company measures all stock options and other stock-based awards granted to employees, non-employees, and directors based on the fair value on the date of the grant and recognizes compensation expense of those awards over the requisite service period, which is generally the vesting period of the respective award. The Company’s stock-based payments include stock options and grants of restricted common stock awards. Generally, the Company issues stock-based awards with only service-based vesting conditions. The Company’s policy is to account for forfeitures when they occur. Stock-based compensation expense is classified in the accompanying consolidated statements of operations and comprehensive loss in the same manner in which the award recipient’s payroll costs are classified or in which the award recipients service payments are classified.</w:t>
      </w:r>
    </w:p>
    <w:p>
      <w:pPr>
        <w:spacing w:after="0" w:line="381" w:lineRule="exact"/>
        <w:rPr>
          <w:sz w:val="20"/>
          <w:szCs w:val="20"/>
          <w:color w:val="auto"/>
        </w:rPr>
      </w:pPr>
    </w:p>
    <w:p>
      <w:pPr>
        <w:ind w:right="480" w:firstLine="627"/>
        <w:spacing w:after="0" w:line="277" w:lineRule="auto"/>
        <w:rPr>
          <w:sz w:val="20"/>
          <w:szCs w:val="20"/>
          <w:color w:val="auto"/>
        </w:rPr>
      </w:pPr>
      <w:r>
        <w:rPr>
          <w:rFonts w:ascii="Arial" w:cs="Arial" w:eastAsia="Arial" w:hAnsi="Arial"/>
          <w:sz w:val="17"/>
          <w:szCs w:val="17"/>
          <w:color w:val="auto"/>
        </w:rPr>
        <w:t>Restricted common stock awards are subject to repurchase rights until such awards meet all vesting conditions. Accordingly, the Company recorded the proceeds from the issuance of restricted common stock awards as a liability in the consolidated balance sheets. The restricted common stock liability was reclassified into stockholders’ equity as the restricted common stock vested.</w:t>
      </w:r>
    </w:p>
    <w:p>
      <w:pPr>
        <w:spacing w:after="0" w:line="159" w:lineRule="exact"/>
        <w:rPr>
          <w:sz w:val="20"/>
          <w:szCs w:val="20"/>
          <w:color w:val="auto"/>
        </w:rPr>
      </w:pPr>
    </w:p>
    <w:p>
      <w:pPr>
        <w:ind w:firstLine="627"/>
        <w:spacing w:after="0" w:line="261" w:lineRule="auto"/>
        <w:rPr>
          <w:sz w:val="20"/>
          <w:szCs w:val="20"/>
          <w:color w:val="auto"/>
        </w:rPr>
      </w:pPr>
      <w:r>
        <w:rPr>
          <w:rFonts w:ascii="Arial" w:cs="Arial" w:eastAsia="Arial" w:hAnsi="Arial"/>
          <w:sz w:val="17"/>
          <w:szCs w:val="17"/>
          <w:color w:val="auto"/>
        </w:rPr>
        <w:t xml:space="preserve">The fair value of each stock option grant is estimated on the date of grant using the Black-Scholes option-pricing model. Due to the lack of Company-specific historical and implied volatility information, the Company estimates its expected stock volatility based on the historical volatility of a publicly traded set of peer companies and expects to continue to do so until it has adequate historical data regarding the volatility of its own traded stock price. The Company uses the simplified method as prescribed by the Securities and Exchange Commission’s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estimate the expected term for options granted to employees and non-employees as the Company does not have sufficient historical exercise data to provide a reasonable basis upon which to estimate the expected term. The risk-free interest rate is determined by reference to the U.S. Treasury yield curve in effect at the time of grant of the award for time periods approximately equal to the expected term of the award. Expected dividend yield is zero because the Company has never paid cash dividends on common shares and does not expect to pay any cash dividends in the foreseeable future.</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8" w:lineRule="exact"/>
        <w:rPr>
          <w:sz w:val="20"/>
          <w:szCs w:val="20"/>
          <w:color w:val="auto"/>
        </w:rPr>
      </w:pPr>
    </w:p>
    <w:p>
      <w:pPr>
        <w:ind w:right="800" w:firstLine="627"/>
        <w:spacing w:after="0" w:line="298" w:lineRule="auto"/>
        <w:rPr>
          <w:sz w:val="20"/>
          <w:szCs w:val="20"/>
          <w:color w:val="auto"/>
        </w:rPr>
      </w:pPr>
      <w:r>
        <w:rPr>
          <w:rFonts w:ascii="Arial" w:cs="Arial" w:eastAsia="Arial" w:hAnsi="Arial"/>
          <w:sz w:val="17"/>
          <w:szCs w:val="17"/>
          <w:color w:val="auto"/>
        </w:rPr>
        <w:t>The Company’s provision for income taxes, deferred tax assets and liabilities, and reserves for unrecognized tax benefits reflect management's best assessment of estimated future taxes to be paid.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Significant judgments and estimates based on interpretations of existing tax laws or regulations in the United States are required in determining our provision for income taxes. Changes in tax laws, statutory tax rates, and estimates of our future taxable income could impact the deferred tax assets and liabilities provided for in the consolidated financial statements and would require an adjustment to the provision for income taxes.</w:t>
      </w:r>
    </w:p>
    <w:p>
      <w:pPr>
        <w:spacing w:after="0" w:line="159" w:lineRule="exact"/>
        <w:rPr>
          <w:sz w:val="20"/>
          <w:szCs w:val="20"/>
          <w:color w:val="auto"/>
        </w:rPr>
      </w:pPr>
    </w:p>
    <w:p>
      <w:pPr>
        <w:ind w:right="20" w:firstLine="627"/>
        <w:spacing w:after="0" w:line="26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388"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which are considered appropriate as well as the related net interest and penalties.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18" w:lineRule="exact"/>
        <w:rPr>
          <w:sz w:val="20"/>
          <w:szCs w:val="20"/>
          <w:color w:val="auto"/>
        </w:rPr>
      </w:pPr>
    </w:p>
    <w:p>
      <w:pPr>
        <w:ind w:right="620" w:firstLine="627"/>
        <w:spacing w:after="0" w:line="298" w:lineRule="auto"/>
        <w:rPr>
          <w:sz w:val="20"/>
          <w:szCs w:val="20"/>
          <w:color w:val="auto"/>
        </w:rPr>
      </w:pPr>
      <w:r>
        <w:rPr>
          <w:rFonts w:ascii="Arial" w:cs="Arial" w:eastAsia="Arial" w:hAnsi="Arial"/>
          <w:sz w:val="17"/>
          <w:szCs w:val="17"/>
          <w:color w:val="auto"/>
        </w:rPr>
        <w:t>Basic net loss per share is computed by dividing net loss attributable to common stockholders by the weighted-average number of common shares outstanding during the period.</w:t>
      </w:r>
    </w:p>
    <w:p>
      <w:pPr>
        <w:spacing w:after="0" w:line="141" w:lineRule="exact"/>
        <w:rPr>
          <w:sz w:val="20"/>
          <w:szCs w:val="20"/>
          <w:color w:val="auto"/>
        </w:rPr>
      </w:pPr>
    </w:p>
    <w:p>
      <w:pPr>
        <w:ind w:right="220" w:firstLine="627"/>
        <w:spacing w:after="0" w:line="277" w:lineRule="auto"/>
        <w:rPr>
          <w:sz w:val="20"/>
          <w:szCs w:val="20"/>
          <w:color w:val="auto"/>
        </w:rPr>
      </w:pPr>
      <w:r>
        <w:rPr>
          <w:rFonts w:ascii="Arial" w:cs="Arial" w:eastAsia="Arial" w:hAnsi="Arial"/>
          <w:sz w:val="17"/>
          <w:szCs w:val="17"/>
          <w:color w:val="auto"/>
        </w:rPr>
        <w:t>Diluted net loss per share is computed using the weighted-average number of common shares outstanding during the period, and if dilutive, the weighted-average number of potential common shares outstanding. Potentially dilutive securities consist of stock options, restricted stock awards, and other common stock equivalents.</w:t>
      </w:r>
    </w:p>
    <w:p>
      <w:pPr>
        <w:spacing w:after="0" w:line="159" w:lineRule="exact"/>
        <w:rPr>
          <w:sz w:val="20"/>
          <w:szCs w:val="20"/>
          <w:color w:val="auto"/>
        </w:rPr>
      </w:pPr>
    </w:p>
    <w:p>
      <w:pPr>
        <w:ind w:right="200" w:firstLine="627"/>
        <w:spacing w:after="0" w:line="298" w:lineRule="auto"/>
        <w:rPr>
          <w:sz w:val="20"/>
          <w:szCs w:val="20"/>
          <w:color w:val="auto"/>
        </w:rPr>
      </w:pPr>
      <w:r>
        <w:rPr>
          <w:rFonts w:ascii="Arial" w:cs="Arial" w:eastAsia="Arial" w:hAnsi="Arial"/>
          <w:sz w:val="17"/>
          <w:szCs w:val="17"/>
          <w:color w:val="auto"/>
        </w:rPr>
        <w:t>In periods in which the Company reports a net loss attributable to common stockholders, diluted net loss per share is the same as basic net loss per share, as the inclusion of potentially dilutive common shares would be antidilutive.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18" w:lineRule="exact"/>
        <w:rPr>
          <w:sz w:val="20"/>
          <w:szCs w:val="20"/>
          <w:color w:val="auto"/>
        </w:rPr>
      </w:pPr>
    </w:p>
    <w:p>
      <w:pPr>
        <w:ind w:right="160" w:firstLine="627"/>
        <w:spacing w:after="0" w:line="270" w:lineRule="auto"/>
        <w:rPr>
          <w:sz w:val="20"/>
          <w:szCs w:val="20"/>
          <w:color w:val="auto"/>
        </w:rPr>
      </w:pPr>
      <w:r>
        <w:rPr>
          <w:rFonts w:ascii="Arial" w:cs="Arial" w:eastAsia="Arial" w:hAnsi="Arial"/>
          <w:sz w:val="17"/>
          <w:szCs w:val="17"/>
          <w:color w:val="auto"/>
        </w:rPr>
        <w:t>Comprehensive loss includes net loss as well as other changes in stockholder’s equity (deficit) that result from transactions and events other than those with stockholders. The Company’s unrealized gains and losses on marketable securities represent the only component of other comprehensive gain that are excluded from the reported net loss and that are presented in the consolidated statements of operations and comprehensive loss.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18" w:lineRule="exact"/>
        <w:rPr>
          <w:sz w:val="20"/>
          <w:szCs w:val="20"/>
          <w:color w:val="auto"/>
        </w:rPr>
      </w:pPr>
    </w:p>
    <w:p>
      <w:pPr>
        <w:ind w:right="180" w:firstLine="627"/>
        <w:spacing w:after="0" w:line="264" w:lineRule="auto"/>
        <w:rPr>
          <w:sz w:val="20"/>
          <w:szCs w:val="20"/>
          <w:color w:val="auto"/>
        </w:rPr>
      </w:pPr>
      <w:r>
        <w:rPr>
          <w:rFonts w:ascii="Arial" w:cs="Arial" w:eastAsia="Arial" w:hAnsi="Arial"/>
          <w:sz w:val="17"/>
          <w:szCs w:val="17"/>
          <w:color w:val="auto"/>
        </w:rPr>
        <w:t>The Company is managed as one operating segment, and thus reports as a single reportable segment. This operating segment is focused on the research and development of cystic fibrosis therapies. Management assessed the financial information routinely reviewed by the Company's Chief Operating Decision Maker ("CODM"), its President and Chief Executive Officer, to monitor the Company's operating performance and support decision making regarding allocation of resources to its operations, and determined that performance is continuously monitored at the consolidated level. The measure of segment assets is reported on the consolidated balance sheet as total consolidated assets. The measure used by the CODM in assessing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performance and deciding how to allocate resources is based on consolidated net loss, as reported on the consolidated statement of operations and comprehensive loss. The CODM uses consolidated net loss, as reported in the consolidated statement of operations, to assess performance and allocate resources by evaluating operating results against expectations.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118" w:lineRule="exact"/>
        <w:rPr>
          <w:sz w:val="20"/>
          <w:szCs w:val="20"/>
          <w:color w:val="auto"/>
        </w:rPr>
      </w:pPr>
    </w:p>
    <w:p>
      <w:pPr>
        <w:ind w:right="100" w:firstLine="627"/>
        <w:spacing w:after="0" w:line="263"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as amended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8"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Income Taxes (Topic 740: Improvements to Income Tax Disclosures)</w:t>
      </w:r>
      <w:r>
        <w:rPr>
          <w:rFonts w:ascii="Arial" w:cs="Arial" w:eastAsia="Arial" w:hAnsi="Arial"/>
          <w:sz w:val="17"/>
          <w:szCs w:val="17"/>
          <w:color w:val="auto"/>
        </w:rPr>
        <w:t xml:space="preserve"> (“ASU 2023-09”). ASU 2023-09 provides more transparency about income tax information through improvements to income tax disclosures primarily related to the rate reconciliation and incomes taxes paid information. For public companies, the amendments were effective for annual periods beginning after December 15, 2024. The Company adopted the amendments retrospectively for the year-ended December 31, 2025. The adoption did not have a material impact on the Company's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118"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Income Statement - Reporting Comprehensive Income - 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(Subtopic 220 -40): Disaggregation of Income Statement Expenses </w:t>
      </w:r>
      <w:r>
        <w:rPr>
          <w:rFonts w:ascii="Arial" w:cs="Arial" w:eastAsia="Arial" w:hAnsi="Arial"/>
          <w:sz w:val="17"/>
          <w:szCs w:val="17"/>
          <w:color w:val="auto"/>
        </w:rPr>
        <w:t>("ASU 2024-03"), which requires entities to disclose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specific expense categories in the notes to the financial statements. ASU 2024-03 is effective for annual periods beginning after December 15, 2026 and for interim periods within fiscal years beginning after December 15, 2027. Early adoption is permitted. ASU 2024-03 may be applied retrospectively or prospectively. The Company is currently evaluating the effect of this update on its consolidated financial statements and related disclosures.</w:t>
      </w:r>
    </w:p>
    <w:p>
      <w:pPr>
        <w:spacing w:after="0" w:line="172" w:lineRule="exact"/>
        <w:rPr>
          <w:sz w:val="20"/>
          <w:szCs w:val="20"/>
          <w:color w:val="auto"/>
        </w:rPr>
      </w:pPr>
    </w:p>
    <w:p>
      <w:pPr>
        <w:ind w:right="180" w:firstLine="627"/>
        <w:spacing w:after="0" w:line="263" w:lineRule="auto"/>
        <w:rPr>
          <w:sz w:val="20"/>
          <w:szCs w:val="20"/>
          <w:color w:val="auto"/>
        </w:rPr>
      </w:pPr>
      <w:r>
        <w:rPr>
          <w:rFonts w:ascii="Arial" w:cs="Arial" w:eastAsia="Arial" w:hAnsi="Arial"/>
          <w:sz w:val="17"/>
          <w:szCs w:val="17"/>
          <w:color w:val="auto"/>
        </w:rPr>
        <w:t xml:space="preserve">In September 2025, the FASB issued ASU 2025-07, </w:t>
      </w:r>
      <w:r>
        <w:rPr>
          <w:rFonts w:ascii="Arial" w:cs="Arial" w:eastAsia="Arial" w:hAnsi="Arial"/>
          <w:sz w:val="17"/>
          <w:szCs w:val="17"/>
          <w:i w:val="1"/>
          <w:iCs w:val="1"/>
          <w:color w:val="auto"/>
        </w:rPr>
        <w:t>Derivatives Scope Refinement</w:t>
      </w:r>
      <w:r>
        <w:rPr>
          <w:rFonts w:ascii="Arial" w:cs="Arial" w:eastAsia="Arial" w:hAnsi="Arial"/>
          <w:sz w:val="17"/>
          <w:szCs w:val="17"/>
          <w:color w:val="auto"/>
        </w:rPr>
        <w:t>, ("ASU 2025-07"). ASU 2025-07 creates a scope exception within ASC 815 for certain contracts with underlyings tied to a party's operations or activities (such as regulatory approval, clinical, or earnings milestones), which may cause some arrangements that previously met the derivative definition to no longer be accounted for as derivatives. The guidance is effective for fiscal years beginning after December 15, 2026, including interim periods. Early adoption is permitted. Entities may adopt prospectively for new or modified contracts after the adoption date, or modified retrospectively for contracts outstanding at adoption with a cumulative-effect adjustment to opening retained earnings. The Company expects to adopt prospectively and does not expect a material impact, though this guidance may affect the accounting for future milestone-linked arrangements executed after adoption.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Marketable Securities</w:t>
      </w:r>
    </w:p>
    <w:p>
      <w:pPr>
        <w:spacing w:after="0" w:line="120" w:lineRule="exact"/>
        <w:rPr>
          <w:sz w:val="20"/>
          <w:szCs w:val="20"/>
          <w:color w:val="auto"/>
        </w:rPr>
      </w:pPr>
    </w:p>
    <w:p>
      <w:pPr>
        <w:ind w:right="700" w:firstLine="627"/>
        <w:spacing w:after="0" w:line="298" w:lineRule="auto"/>
        <w:rPr>
          <w:sz w:val="20"/>
          <w:szCs w:val="20"/>
          <w:color w:val="auto"/>
        </w:rPr>
      </w:pPr>
      <w:r>
        <w:rPr>
          <w:rFonts w:ascii="Arial" w:cs="Arial" w:eastAsia="Arial" w:hAnsi="Arial"/>
          <w:sz w:val="17"/>
          <w:szCs w:val="17"/>
          <w:color w:val="auto"/>
        </w:rPr>
        <w:t>The following table summarizes the amortized cost and estimated fair value of the Company’s current and noncurrent marketable securities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15"/>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w:t>
            </w:r>
          </w:p>
        </w:tc>
        <w:tc>
          <w:tcPr>
            <w:tcW w:w="220" w:type="dxa"/>
            <w:vAlign w:val="bottom"/>
          </w:tcPr>
          <w:p>
            <w:pPr>
              <w:spacing w:after="0"/>
              <w:rPr>
                <w:sz w:val="18"/>
                <w:szCs w:val="18"/>
                <w:color w:val="auto"/>
              </w:rPr>
            </w:pPr>
          </w:p>
        </w:tc>
        <w:tc>
          <w:tcPr>
            <w:tcW w:w="1140" w:type="dxa"/>
            <w:vAlign w:val="bottom"/>
          </w:tcPr>
          <w:p>
            <w:pPr>
              <w:jc w:val="right"/>
              <w:ind w:right="275"/>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Marketable securities, current:</w:t>
            </w: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135,801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136,064</w:t>
            </w:r>
          </w:p>
        </w:tc>
      </w:tr>
      <w:tr>
        <w:trPr>
          <w:trHeight w:val="22"/>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24,391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24,396</w:t>
            </w: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Corporate debt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11,813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ind w:left="10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11,815</w:t>
            </w:r>
          </w:p>
        </w:tc>
      </w:tr>
      <w:tr>
        <w:trPr>
          <w:trHeight w:val="22"/>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Government agency securities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5,145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5,156</w:t>
            </w:r>
          </w:p>
        </w:tc>
      </w:tr>
      <w:tr>
        <w:trPr>
          <w:trHeight w:val="232"/>
        </w:trPr>
        <w:tc>
          <w:tcPr>
            <w:tcW w:w="5480" w:type="dxa"/>
            <w:vAlign w:val="bottom"/>
          </w:tcPr>
          <w:p>
            <w:pPr>
              <w:ind w:left="640"/>
              <w:spacing w:after="0"/>
              <w:rPr>
                <w:sz w:val="20"/>
                <w:szCs w:val="20"/>
                <w:color w:val="auto"/>
              </w:rPr>
            </w:pPr>
            <w:r>
              <w:rPr>
                <w:rFonts w:ascii="Arial" w:cs="Arial" w:eastAsia="Arial" w:hAnsi="Arial"/>
                <w:sz w:val="17"/>
                <w:szCs w:val="17"/>
                <w:color w:val="auto"/>
              </w:rPr>
              <w:t>Total marketable securities, current</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177,150</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177,431</w:t>
            </w:r>
          </w:p>
        </w:tc>
      </w:tr>
      <w:tr>
        <w:trPr>
          <w:trHeight w:val="22"/>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Marketable securities, noncurrent:</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55,793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56,001</w:t>
            </w:r>
          </w:p>
        </w:tc>
      </w:tr>
      <w:tr>
        <w:trPr>
          <w:trHeight w:val="22"/>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Government agency securities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18,368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18,419</w:t>
            </w:r>
          </w:p>
        </w:tc>
      </w:tr>
      <w:tr>
        <w:trPr>
          <w:trHeight w:val="232"/>
        </w:trPr>
        <w:tc>
          <w:tcPr>
            <w:tcW w:w="5480" w:type="dxa"/>
            <w:vAlign w:val="bottom"/>
          </w:tcPr>
          <w:p>
            <w:pPr>
              <w:ind w:left="640"/>
              <w:spacing w:after="0"/>
              <w:rPr>
                <w:sz w:val="20"/>
                <w:szCs w:val="20"/>
                <w:color w:val="auto"/>
              </w:rPr>
            </w:pPr>
            <w:r>
              <w:rPr>
                <w:rFonts w:ascii="Arial" w:cs="Arial" w:eastAsia="Arial" w:hAnsi="Arial"/>
                <w:sz w:val="17"/>
                <w:szCs w:val="17"/>
                <w:color w:val="auto"/>
              </w:rPr>
              <w:t>Total marketable securities, noncurrent</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74,161</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74,420</w:t>
            </w:r>
          </w:p>
        </w:tc>
      </w:tr>
      <w:tr>
        <w:trPr>
          <w:trHeight w:val="22"/>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9"/>
        </w:trPr>
        <w:tc>
          <w:tcPr>
            <w:tcW w:w="54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251,311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251,851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5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5"/>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w:t>
            </w:r>
          </w:p>
        </w:tc>
        <w:tc>
          <w:tcPr>
            <w:tcW w:w="220" w:type="dxa"/>
            <w:vAlign w:val="bottom"/>
          </w:tcPr>
          <w:p>
            <w:pPr>
              <w:spacing w:after="0"/>
              <w:rPr>
                <w:sz w:val="18"/>
                <w:szCs w:val="18"/>
                <w:color w:val="auto"/>
              </w:rPr>
            </w:pPr>
          </w:p>
        </w:tc>
        <w:tc>
          <w:tcPr>
            <w:tcW w:w="1140" w:type="dxa"/>
            <w:vAlign w:val="bottom"/>
          </w:tcPr>
          <w:p>
            <w:pPr>
              <w:jc w:val="right"/>
              <w:ind w:right="275"/>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Marketable securities, current:</w:t>
            </w: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55,154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55,330</w:t>
            </w:r>
          </w:p>
        </w:tc>
      </w:tr>
      <w:tr>
        <w:trPr>
          <w:trHeight w:val="22"/>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Government agency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31,198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31,259</w:t>
            </w: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Corporate debt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17,205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17,227</w:t>
            </w:r>
          </w:p>
        </w:tc>
      </w:tr>
      <w:tr>
        <w:trPr>
          <w:trHeight w:val="22"/>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5,934</w:t>
            </w:r>
          </w:p>
        </w:tc>
      </w:tr>
      <w:tr>
        <w:trPr>
          <w:trHeight w:val="232"/>
        </w:trPr>
        <w:tc>
          <w:tcPr>
            <w:tcW w:w="5480" w:type="dxa"/>
            <w:vAlign w:val="bottom"/>
          </w:tcPr>
          <w:p>
            <w:pPr>
              <w:ind w:left="640"/>
              <w:spacing w:after="0"/>
              <w:rPr>
                <w:sz w:val="20"/>
                <w:szCs w:val="20"/>
                <w:color w:val="auto"/>
              </w:rPr>
            </w:pPr>
            <w:r>
              <w:rPr>
                <w:rFonts w:ascii="Arial" w:cs="Arial" w:eastAsia="Arial" w:hAnsi="Arial"/>
                <w:sz w:val="17"/>
                <w:szCs w:val="17"/>
                <w:color w:val="auto"/>
              </w:rPr>
              <w:t>Total marketable securities, current</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109,488</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109,750</w:t>
            </w:r>
          </w:p>
        </w:tc>
      </w:tr>
      <w:tr>
        <w:trPr>
          <w:trHeight w:val="22"/>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Marketable securities, noncurrent:</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15,266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15,349</w:t>
            </w:r>
          </w:p>
        </w:tc>
      </w:tr>
      <w:tr>
        <w:trPr>
          <w:trHeight w:val="22"/>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Government agency securities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5,133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5,156</w:t>
            </w:r>
          </w:p>
        </w:tc>
      </w:tr>
      <w:tr>
        <w:trPr>
          <w:trHeight w:val="232"/>
        </w:trPr>
        <w:tc>
          <w:tcPr>
            <w:tcW w:w="5480" w:type="dxa"/>
            <w:vAlign w:val="bottom"/>
          </w:tcPr>
          <w:p>
            <w:pPr>
              <w:ind w:left="640"/>
              <w:spacing w:after="0"/>
              <w:rPr>
                <w:sz w:val="20"/>
                <w:szCs w:val="20"/>
                <w:color w:val="auto"/>
              </w:rPr>
            </w:pPr>
            <w:r>
              <w:rPr>
                <w:rFonts w:ascii="Arial" w:cs="Arial" w:eastAsia="Arial" w:hAnsi="Arial"/>
                <w:sz w:val="17"/>
                <w:szCs w:val="17"/>
                <w:color w:val="auto"/>
              </w:rPr>
              <w:t>Total marketable securities, noncurrent</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20,399</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20,505</w:t>
            </w:r>
          </w:p>
        </w:tc>
      </w:tr>
      <w:tr>
        <w:trPr>
          <w:trHeight w:val="22"/>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9"/>
        </w:trPr>
        <w:tc>
          <w:tcPr>
            <w:tcW w:w="54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129,887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130,255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20" w:firstLine="627"/>
        <w:spacing w:after="0" w:line="270" w:lineRule="auto"/>
        <w:rPr>
          <w:sz w:val="20"/>
          <w:szCs w:val="20"/>
          <w:color w:val="auto"/>
        </w:rPr>
      </w:pPr>
      <w:r>
        <w:rPr>
          <w:rFonts w:ascii="Arial" w:cs="Arial" w:eastAsia="Arial" w:hAnsi="Arial"/>
          <w:sz w:val="17"/>
          <w:szCs w:val="17"/>
          <w:color w:val="auto"/>
        </w:rPr>
        <w:t>The Company has determined that there were no material changes in the credit risk, therefore the Company has not recognized any allowance for credit losses on its debt securities. As of December 31, 2025, the Company holds marketable securities with an aggregate fair value of $74.4 million that had remaining maturities between one and two years. All other securities had a contractual maturity of less than a year. There were no realized gains or losses during the years ended December 31, 2025, or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120" w:lineRule="exact"/>
        <w:rPr>
          <w:sz w:val="20"/>
          <w:szCs w:val="20"/>
          <w:color w:val="auto"/>
        </w:rPr>
      </w:pPr>
    </w:p>
    <w:p>
      <w:pPr>
        <w:ind w:right="220" w:firstLine="627"/>
        <w:spacing w:after="0" w:line="298"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and indicates the fair value hierarchy of the inputs the Company utilized to determine such fair value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2025</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2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51,962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51,962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5,988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ind w:left="840"/>
              <w:spacing w:after="0"/>
              <w:rPr>
                <w:sz w:val="20"/>
                <w:szCs w:val="20"/>
                <w:color w:val="auto"/>
              </w:rPr>
            </w:pPr>
            <w:r>
              <w:rPr>
                <w:rFonts w:ascii="Arial" w:cs="Arial" w:eastAsia="Arial" w:hAnsi="Arial"/>
                <w:sz w:val="17"/>
                <w:szCs w:val="17"/>
                <w:color w:val="auto"/>
              </w:rPr>
              <w:t>—</w:t>
            </w:r>
          </w:p>
        </w:tc>
      </w:tr>
      <w:tr>
        <w:trPr>
          <w:trHeight w:val="22"/>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192,065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192,065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80" w:type="dxa"/>
            <w:vAlign w:val="bottom"/>
          </w:tcPr>
          <w:p>
            <w:pPr>
              <w:ind w:left="840"/>
              <w:spacing w:after="0"/>
              <w:rPr>
                <w:sz w:val="20"/>
                <w:szCs w:val="20"/>
                <w:color w:val="auto"/>
              </w:rPr>
            </w:pPr>
            <w:r>
              <w:rPr>
                <w:rFonts w:ascii="Arial" w:cs="Arial" w:eastAsia="Arial" w:hAnsi="Arial"/>
                <w:sz w:val="17"/>
                <w:szCs w:val="17"/>
                <w:color w:val="auto"/>
              </w:rPr>
              <w:t>—</w:t>
            </w:r>
          </w:p>
        </w:tc>
      </w:tr>
      <w:tr>
        <w:trPr>
          <w:trHeight w:val="22"/>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24,396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Government agency securities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23,575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23,575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ind w:left="840"/>
              <w:spacing w:after="0"/>
              <w:rPr>
                <w:sz w:val="20"/>
                <w:szCs w:val="20"/>
                <w:color w:val="auto"/>
              </w:rPr>
            </w:pPr>
            <w:r>
              <w:rPr>
                <w:rFonts w:ascii="Arial" w:cs="Arial" w:eastAsia="Arial" w:hAnsi="Arial"/>
                <w:sz w:val="17"/>
                <w:szCs w:val="17"/>
                <w:color w:val="auto"/>
              </w:rPr>
              <w:t>—</w:t>
            </w:r>
          </w:p>
        </w:tc>
      </w:tr>
      <w:tr>
        <w:trPr>
          <w:trHeight w:val="22"/>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debt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11,815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54"/>
        </w:trPr>
        <w:tc>
          <w:tcPr>
            <w:tcW w:w="5480" w:type="dxa"/>
            <w:vAlign w:val="bottom"/>
          </w:tcPr>
          <w:p>
            <w:pPr>
              <w:ind w:left="640"/>
              <w:spacing w:after="0"/>
              <w:rPr>
                <w:sz w:val="20"/>
                <w:szCs w:val="20"/>
                <w:color w:val="auto"/>
              </w:rPr>
            </w:pPr>
            <w:r>
              <w:rPr>
                <w:rFonts w:ascii="Arial" w:cs="Arial" w:eastAsia="Arial" w:hAnsi="Arial"/>
                <w:sz w:val="17"/>
                <w:szCs w:val="17"/>
                <w:color w:val="auto"/>
              </w:rPr>
              <w:t>Total financial assets</w:t>
            </w: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309,801</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244,027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65,774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color w:val="auto"/>
              </w:rPr>
              <w:t>—</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34"/>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2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37,288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Marketable securities: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70,679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70,679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Government agency securities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36,415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36,415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ind w:left="840"/>
              <w:spacing w:after="0"/>
              <w:rPr>
                <w:sz w:val="20"/>
                <w:szCs w:val="20"/>
                <w:color w:val="auto"/>
              </w:rPr>
            </w:pPr>
            <w:r>
              <w:rPr>
                <w:rFonts w:ascii="Arial" w:cs="Arial" w:eastAsia="Arial" w:hAnsi="Arial"/>
                <w:sz w:val="17"/>
                <w:szCs w:val="17"/>
                <w:color w:val="auto"/>
              </w:rPr>
              <w:t>—</w:t>
            </w:r>
          </w:p>
        </w:tc>
      </w:tr>
      <w:tr>
        <w:trPr>
          <w:trHeight w:val="22"/>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debt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17,227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39"/>
        </w:trPr>
        <w:tc>
          <w:tcPr>
            <w:tcW w:w="548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5,934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ind w:left="840"/>
              <w:spacing w:after="0"/>
              <w:rPr>
                <w:sz w:val="20"/>
                <w:szCs w:val="20"/>
                <w:color w:val="auto"/>
              </w:rPr>
            </w:pPr>
            <w:r>
              <w:rPr>
                <w:rFonts w:ascii="Arial" w:cs="Arial" w:eastAsia="Arial" w:hAnsi="Arial"/>
                <w:sz w:val="17"/>
                <w:szCs w:val="17"/>
                <w:color w:val="auto"/>
              </w:rPr>
              <w:t>—</w:t>
            </w:r>
          </w:p>
        </w:tc>
      </w:tr>
      <w:tr>
        <w:trPr>
          <w:trHeight w:val="22"/>
        </w:trPr>
        <w:tc>
          <w:tcPr>
            <w:tcW w:w="5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9"/>
        </w:trPr>
        <w:tc>
          <w:tcPr>
            <w:tcW w:w="54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financial assets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167,543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140" w:firstLine="627"/>
        <w:spacing w:after="0" w:line="277" w:lineRule="auto"/>
        <w:rPr>
          <w:sz w:val="20"/>
          <w:szCs w:val="20"/>
          <w:color w:val="auto"/>
        </w:rPr>
      </w:pPr>
      <w:r>
        <w:rPr>
          <w:rFonts w:ascii="Arial" w:cs="Arial" w:eastAsia="Arial" w:hAnsi="Arial"/>
          <w:sz w:val="17"/>
          <w:szCs w:val="17"/>
          <w:color w:val="auto"/>
        </w:rPr>
        <w:t>During the year ended December 31, 2025, there were no transfers or reclassifications between fair value measurement levels of assets or liabilities. The carrying values of prepaid expenses and other current assets, accounts payable and accrued expenses approximate their fair values due to the short-term nature of these assets and liabilities.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Property and Equipment, net</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15"/>
        </w:trPr>
        <w:tc>
          <w:tcPr>
            <w:tcW w:w="84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r>
      <w:tr>
        <w:trPr>
          <w:trHeight w:val="241"/>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1,854</w:t>
            </w:r>
          </w:p>
        </w:tc>
      </w:tr>
      <w:tr>
        <w:trPr>
          <w:trHeight w:val="239"/>
        </w:trPr>
        <w:tc>
          <w:tcPr>
            <w:tcW w:w="842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1,461</w:t>
            </w:r>
          </w:p>
        </w:tc>
      </w:tr>
      <w:tr>
        <w:trPr>
          <w:trHeight w:val="22"/>
        </w:trPr>
        <w:tc>
          <w:tcPr>
            <w:tcW w:w="8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1"/>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Furniture &amp; fixtures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722</w:t>
            </w:r>
          </w:p>
        </w:tc>
      </w:tr>
      <w:tr>
        <w:trPr>
          <w:trHeight w:val="232"/>
        </w:trPr>
        <w:tc>
          <w:tcPr>
            <w:tcW w:w="8420" w:type="dxa"/>
            <w:vAlign w:val="bottom"/>
          </w:tcPr>
          <w:p>
            <w:pPr>
              <w:ind w:left="20"/>
              <w:spacing w:after="0"/>
              <w:rPr>
                <w:sz w:val="20"/>
                <w:szCs w:val="20"/>
                <w:color w:val="auto"/>
              </w:rPr>
            </w:pPr>
            <w:r>
              <w:rPr>
                <w:rFonts w:ascii="Arial" w:cs="Arial" w:eastAsia="Arial" w:hAnsi="Arial"/>
                <w:sz w:val="17"/>
                <w:szCs w:val="17"/>
                <w:color w:val="auto"/>
              </w:rPr>
              <w:t>Total property and equipment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4,347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4,037</w:t>
            </w:r>
          </w:p>
        </w:tc>
      </w:tr>
      <w:tr>
        <w:trPr>
          <w:trHeight w:val="22"/>
        </w:trPr>
        <w:tc>
          <w:tcPr>
            <w:tcW w:w="8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1"/>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(1,571)</w:t>
            </w:r>
          </w:p>
        </w:tc>
      </w:tr>
      <w:tr>
        <w:trPr>
          <w:trHeight w:val="254"/>
        </w:trPr>
        <w:tc>
          <w:tcPr>
            <w:tcW w:w="842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2,225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2,466</w:t>
            </w: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Depreciation expense was $0.6 million and $0.7 million for the years ended December 31, 2025 and 2024,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Accrued Expenses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15"/>
        </w:trPr>
        <w:tc>
          <w:tcPr>
            <w:tcW w:w="84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r>
      <w:tr>
        <w:trPr>
          <w:trHeight w:val="241"/>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compensation and benefits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4,740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2,972</w:t>
            </w:r>
          </w:p>
        </w:tc>
      </w:tr>
      <w:tr>
        <w:trPr>
          <w:trHeight w:val="239"/>
        </w:trPr>
        <w:tc>
          <w:tcPr>
            <w:tcW w:w="8420" w:type="dxa"/>
            <w:vAlign w:val="bottom"/>
          </w:tcPr>
          <w:p>
            <w:pPr>
              <w:ind w:left="20"/>
              <w:spacing w:after="0"/>
              <w:rPr>
                <w:sz w:val="20"/>
                <w:szCs w:val="20"/>
                <w:color w:val="auto"/>
              </w:rPr>
            </w:pPr>
            <w:r>
              <w:rPr>
                <w:rFonts w:ascii="Arial" w:cs="Arial" w:eastAsia="Arial" w:hAnsi="Arial"/>
                <w:sz w:val="17"/>
                <w:szCs w:val="17"/>
                <w:color w:val="auto"/>
              </w:rPr>
              <w:t>Accrued research and development</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4,305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3,961</w:t>
            </w:r>
          </w:p>
        </w:tc>
      </w:tr>
      <w:tr>
        <w:trPr>
          <w:trHeight w:val="22"/>
        </w:trPr>
        <w:tc>
          <w:tcPr>
            <w:tcW w:w="8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1"/>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professional fees</w:t>
            </w: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737</w:t>
            </w:r>
          </w:p>
        </w:tc>
      </w:tr>
      <w:tr>
        <w:trPr>
          <w:trHeight w:val="239"/>
        </w:trPr>
        <w:tc>
          <w:tcPr>
            <w:tcW w:w="8420" w:type="dxa"/>
            <w:vAlign w:val="bottom"/>
          </w:tcPr>
          <w:p>
            <w:pPr>
              <w:ind w:left="20"/>
              <w:spacing w:after="0"/>
              <w:rPr>
                <w:sz w:val="20"/>
                <w:szCs w:val="20"/>
                <w:color w:val="auto"/>
              </w:rPr>
            </w:pPr>
            <w:r>
              <w:rPr>
                <w:rFonts w:ascii="Arial" w:cs="Arial" w:eastAsia="Arial" w:hAnsi="Arial"/>
                <w:sz w:val="17"/>
                <w:szCs w:val="17"/>
                <w:color w:val="auto"/>
              </w:rPr>
              <w:t>Accrued other</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
        </w:trPr>
        <w:tc>
          <w:tcPr>
            <w:tcW w:w="8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1"/>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deferred offering costs</w:t>
            </w:r>
          </w:p>
        </w:tc>
        <w:tc>
          <w:tcPr>
            <w:tcW w:w="8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w:t>
            </w:r>
          </w:p>
        </w:tc>
      </w:tr>
      <w:tr>
        <w:trPr>
          <w:trHeight w:val="254"/>
        </w:trPr>
        <w:tc>
          <w:tcPr>
            <w:tcW w:w="8420" w:type="dxa"/>
            <w:vAlign w:val="bottom"/>
          </w:tcPr>
          <w:p>
            <w:pPr>
              <w:ind w:left="20"/>
              <w:spacing w:after="0"/>
              <w:rPr>
                <w:sz w:val="20"/>
                <w:szCs w:val="20"/>
                <w:color w:val="auto"/>
              </w:rPr>
            </w:pPr>
            <w:r>
              <w:rPr>
                <w:rFonts w:ascii="Arial" w:cs="Arial" w:eastAsia="Arial" w:hAnsi="Arial"/>
                <w:sz w:val="17"/>
                <w:szCs w:val="17"/>
                <w:color w:val="auto"/>
              </w:rPr>
              <w:t>Total accrued expenses</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9,668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8,162</w:t>
            </w:r>
          </w:p>
        </w:tc>
      </w:tr>
      <w:tr>
        <w:trPr>
          <w:trHeight w:val="20"/>
        </w:trPr>
        <w:tc>
          <w:tcPr>
            <w:tcW w:w="8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Leases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 Summary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Waltham, Massachusetts</w:t>
      </w:r>
    </w:p>
    <w:p>
      <w:pPr>
        <w:spacing w:after="0" w:line="118" w:lineRule="exact"/>
        <w:rPr>
          <w:sz w:val="20"/>
          <w:szCs w:val="20"/>
          <w:color w:val="auto"/>
        </w:rPr>
      </w:pPr>
    </w:p>
    <w:p>
      <w:pPr>
        <w:ind w:right="180" w:firstLine="627"/>
        <w:spacing w:after="0" w:line="266" w:lineRule="auto"/>
        <w:rPr>
          <w:sz w:val="20"/>
          <w:szCs w:val="20"/>
          <w:color w:val="auto"/>
        </w:rPr>
      </w:pPr>
      <w:r>
        <w:rPr>
          <w:rFonts w:ascii="Arial" w:cs="Arial" w:eastAsia="Arial" w:hAnsi="Arial"/>
          <w:sz w:val="17"/>
          <w:szCs w:val="17"/>
          <w:color w:val="auto"/>
        </w:rPr>
        <w:t>In May 2022, the Company entered into a noncancelable facility lease agreement to lease 24,051 square feet of office and laboratory space in Waltham, Massachusetts (“Waltham Lease”), which became the Company headquarters in January 2023 following the completion of construction of the prebuilt office and lab space, and when the Company received full access and control over the leased space. At commencement of the lease the right-of-use asset was $9.5 million, which was reduced by $0.4 million of lease incentives, offset by $0.2 million of lease prepayments, and the lease liability was $9.7 million.</w:t>
      </w:r>
    </w:p>
    <w:p>
      <w:pPr>
        <w:spacing w:after="0" w:line="170" w:lineRule="exact"/>
        <w:rPr>
          <w:sz w:val="20"/>
          <w:szCs w:val="20"/>
          <w:color w:val="auto"/>
        </w:rPr>
      </w:pPr>
    </w:p>
    <w:p>
      <w:pPr>
        <w:ind w:right="40" w:firstLine="627"/>
        <w:spacing w:after="0" w:line="264" w:lineRule="auto"/>
        <w:rPr>
          <w:sz w:val="20"/>
          <w:szCs w:val="20"/>
          <w:color w:val="auto"/>
        </w:rPr>
      </w:pPr>
      <w:r>
        <w:rPr>
          <w:rFonts w:ascii="Arial" w:cs="Arial" w:eastAsia="Arial" w:hAnsi="Arial"/>
          <w:sz w:val="17"/>
          <w:szCs w:val="17"/>
          <w:color w:val="auto"/>
        </w:rPr>
        <w:t>The original term for the Waltham Lease is for the period from January 2023 through November 2030, and the Company has the option to extend the Waltham Lease for an additional five-year term at market-based rates. The renewal option is not reasonably certain to occur, and as such, it was not considered in the measurement of the right-of-use asset and lease liability. The Waltham Lease has escalating base rent payments, which commenced in September 2023 and continue through the expiration of the lease. The Company received eight months of free rent and five additional months of 50% rent abatement. The Company is responsible for other fixed and variable payments including operating expenses and property taxes.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Sublease Agreement</w:t>
      </w:r>
    </w:p>
    <w:p>
      <w:pPr>
        <w:spacing w:after="0" w:line="118" w:lineRule="exact"/>
        <w:rPr>
          <w:sz w:val="20"/>
          <w:szCs w:val="20"/>
          <w:color w:val="auto"/>
        </w:rPr>
      </w:pPr>
    </w:p>
    <w:p>
      <w:pPr>
        <w:ind w:right="280" w:firstLine="627"/>
        <w:spacing w:after="0" w:line="266" w:lineRule="auto"/>
        <w:rPr>
          <w:sz w:val="20"/>
          <w:szCs w:val="20"/>
          <w:color w:val="auto"/>
        </w:rPr>
      </w:pPr>
      <w:r>
        <w:rPr>
          <w:rFonts w:ascii="Arial" w:cs="Arial" w:eastAsia="Arial" w:hAnsi="Arial"/>
          <w:sz w:val="17"/>
          <w:szCs w:val="17"/>
          <w:color w:val="auto"/>
        </w:rPr>
        <w:t>In June 2023, the Company entered into a sublease agreement to sublet 6,399 square feet of its office and laboratory space under the Waltham Lease (the “Sublease”). The Company was not relieved of its obligation to the lessor for the head lease as a result of its entry into the Sublease. The Sublease is classified as an operating lease and commenced in July 2023 and expired in August 2025. Sublease income was recognized on a straight-line basis. For the years ended December 31, 2025 and 2024, the Company recognized $0.4 million and $0.7 million, respectively, of sublease income within other income on the consolidated statements of operations and comprehensive loss.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 Tables</w:t>
      </w:r>
    </w:p>
    <w:p>
      <w:pPr>
        <w:spacing w:after="0" w:line="118" w:lineRule="exact"/>
        <w:rPr>
          <w:sz w:val="20"/>
          <w:szCs w:val="20"/>
          <w:color w:val="auto"/>
        </w:rPr>
      </w:pPr>
    </w:p>
    <w:p>
      <w:pPr>
        <w:ind w:right="440" w:firstLine="627"/>
        <w:spacing w:after="0" w:line="298" w:lineRule="auto"/>
        <w:rPr>
          <w:sz w:val="20"/>
          <w:szCs w:val="20"/>
          <w:color w:val="auto"/>
        </w:rPr>
      </w:pPr>
      <w:r>
        <w:rPr>
          <w:rFonts w:ascii="Arial" w:cs="Arial" w:eastAsia="Arial" w:hAnsi="Arial"/>
          <w:sz w:val="17"/>
          <w:szCs w:val="17"/>
          <w:color w:val="auto"/>
        </w:rPr>
        <w:t>The following table presents inputs used in the calculation of the Company’s right of use asset and lease liabilities at the end of each reporting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15"/>
        </w:trPr>
        <w:tc>
          <w:tcPr>
            <w:tcW w:w="8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2024</w:t>
            </w: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4.9</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5.9</w:t>
            </w: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2"/>
        </w:trPr>
        <w:tc>
          <w:tcPr>
            <w:tcW w:w="8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operating lease liabilities (in thousands)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98"/>
              </w:rPr>
              <w:t>2,128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1,897</w:t>
            </w:r>
          </w:p>
        </w:tc>
      </w:tr>
      <w:tr>
        <w:trPr>
          <w:trHeight w:val="865"/>
        </w:trPr>
        <w:tc>
          <w:tcPr>
            <w:tcW w:w="8140" w:type="dxa"/>
            <w:vAlign w:val="bottom"/>
          </w:tcPr>
          <w:p>
            <w:pPr>
              <w:ind w:left="5440"/>
              <w:spacing w:after="0"/>
              <w:rPr>
                <w:sz w:val="20"/>
                <w:szCs w:val="20"/>
                <w:color w:val="auto"/>
              </w:rPr>
            </w:pPr>
            <w:r>
              <w:rPr>
                <w:rFonts w:ascii="Arial" w:cs="Arial" w:eastAsia="Arial" w:hAnsi="Arial"/>
                <w:sz w:val="17"/>
                <w:szCs w:val="17"/>
                <w:color w:val="auto"/>
              </w:rPr>
              <w:t>F-17</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8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lease costs were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Operating lease costs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1,962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7"/>
                <w:szCs w:val="17"/>
                <w:color w:val="auto"/>
              </w:rPr>
              <w:t>Variable lease costs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2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lease cost</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2,589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i w:val="1"/>
                <w:iCs w:val="1"/>
                <w:color w:val="auto"/>
              </w:rPr>
              <w:t>Lease commitments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842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8400" w:type="dxa"/>
            <w:vAlign w:val="bottom"/>
            <w:gridSpan w:val="2"/>
          </w:tcPr>
          <w:p>
            <w:pPr>
              <w:ind w:left="620"/>
              <w:spacing w:after="0"/>
              <w:rPr>
                <w:sz w:val="20"/>
                <w:szCs w:val="20"/>
                <w:color w:val="auto"/>
              </w:rPr>
            </w:pPr>
            <w:r>
              <w:rPr>
                <w:rFonts w:ascii="Arial" w:cs="Arial" w:eastAsia="Arial" w:hAnsi="Arial"/>
                <w:sz w:val="17"/>
                <w:szCs w:val="17"/>
                <w:color w:val="auto"/>
              </w:rPr>
              <w:t>Future minimum lease payments were as follows (in thousands):</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84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8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67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2,190</w:t>
            </w:r>
          </w:p>
        </w:tc>
        <w:tc>
          <w:tcPr>
            <w:tcW w:w="0" w:type="dxa"/>
            <w:vAlign w:val="bottom"/>
          </w:tcPr>
          <w:p>
            <w:pPr>
              <w:spacing w:after="0"/>
              <w:rPr>
                <w:sz w:val="1"/>
                <w:szCs w:val="1"/>
                <w:color w:val="auto"/>
              </w:rPr>
            </w:pPr>
          </w:p>
        </w:tc>
      </w:tr>
      <w:tr>
        <w:trPr>
          <w:trHeight w:val="239"/>
        </w:trPr>
        <w:tc>
          <w:tcPr>
            <w:tcW w:w="1700" w:type="dxa"/>
            <w:vAlign w:val="bottom"/>
            <w:gridSpan w:val="2"/>
          </w:tcPr>
          <w:p>
            <w:pPr>
              <w:ind w:left="20"/>
              <w:spacing w:after="0"/>
              <w:rPr>
                <w:sz w:val="20"/>
                <w:szCs w:val="20"/>
                <w:color w:val="auto"/>
              </w:rPr>
            </w:pPr>
            <w:r>
              <w:rPr>
                <w:rFonts w:ascii="Arial" w:cs="Arial" w:eastAsia="Arial" w:hAnsi="Arial"/>
                <w:sz w:val="17"/>
                <w:szCs w:val="17"/>
                <w:color w:val="auto"/>
              </w:rPr>
              <w:t>2027</w:t>
            </w:r>
          </w:p>
        </w:tc>
        <w:tc>
          <w:tcPr>
            <w:tcW w:w="6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2,253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67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2,319</w:t>
            </w:r>
          </w:p>
        </w:tc>
        <w:tc>
          <w:tcPr>
            <w:tcW w:w="0" w:type="dxa"/>
            <w:vAlign w:val="bottom"/>
          </w:tcPr>
          <w:p>
            <w:pPr>
              <w:spacing w:after="0"/>
              <w:rPr>
                <w:sz w:val="1"/>
                <w:szCs w:val="1"/>
                <w:color w:val="auto"/>
              </w:rPr>
            </w:pPr>
          </w:p>
        </w:tc>
      </w:tr>
      <w:tr>
        <w:trPr>
          <w:trHeight w:val="239"/>
        </w:trPr>
        <w:tc>
          <w:tcPr>
            <w:tcW w:w="1700" w:type="dxa"/>
            <w:vAlign w:val="bottom"/>
            <w:gridSpan w:val="2"/>
          </w:tcPr>
          <w:p>
            <w:pPr>
              <w:ind w:left="20"/>
              <w:spacing w:after="0"/>
              <w:rPr>
                <w:sz w:val="20"/>
                <w:szCs w:val="20"/>
                <w:color w:val="auto"/>
              </w:rPr>
            </w:pPr>
            <w:r>
              <w:rPr>
                <w:rFonts w:ascii="Arial" w:cs="Arial" w:eastAsia="Arial" w:hAnsi="Arial"/>
                <w:sz w:val="17"/>
                <w:szCs w:val="17"/>
                <w:color w:val="auto"/>
              </w:rPr>
              <w:t>2029</w:t>
            </w:r>
          </w:p>
        </w:tc>
        <w:tc>
          <w:tcPr>
            <w:tcW w:w="6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2,386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2030</w:t>
            </w:r>
          </w:p>
        </w:tc>
        <w:tc>
          <w:tcPr>
            <w:tcW w:w="67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7"/>
                <w:szCs w:val="17"/>
                <w:color w:val="auto"/>
              </w:rPr>
              <w:t>Total future minimum lease payments</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11,394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Less imputed interest</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(2,717)</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400" w:type="dxa"/>
            <w:vAlign w:val="bottom"/>
            <w:gridSpan w:val="2"/>
          </w:tcPr>
          <w:p>
            <w:pPr>
              <w:spacing w:after="0"/>
              <w:rPr>
                <w:sz w:val="20"/>
                <w:szCs w:val="20"/>
                <w:color w:val="auto"/>
              </w:rPr>
            </w:pPr>
            <w:r>
              <w:rPr>
                <w:rFonts w:ascii="Arial" w:cs="Arial" w:eastAsia="Arial" w:hAnsi="Arial"/>
                <w:sz w:val="17"/>
                <w:szCs w:val="17"/>
                <w:color w:val="auto"/>
              </w:rPr>
              <w:t>Present value of operating lease liability</w:t>
            </w: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8280" w:firstLine="4"/>
        <w:spacing w:after="0" w:line="385" w:lineRule="auto"/>
        <w:tabs>
          <w:tab w:leader="none" w:pos="193"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spacing w:after="0" w:line="1" w:lineRule="exact"/>
        <w:rPr>
          <w:sz w:val="20"/>
          <w:szCs w:val="20"/>
          <w:color w:val="auto"/>
        </w:rPr>
      </w:pPr>
    </w:p>
    <w:p>
      <w:pPr>
        <w:ind w:right="20" w:firstLine="627"/>
        <w:spacing w:after="0" w:line="298" w:lineRule="auto"/>
        <w:rPr>
          <w:sz w:val="20"/>
          <w:szCs w:val="20"/>
          <w:color w:val="auto"/>
        </w:rPr>
      </w:pPr>
      <w:r>
        <w:rPr>
          <w:rFonts w:ascii="Arial" w:cs="Arial" w:eastAsia="Arial" w:hAnsi="Arial"/>
          <w:sz w:val="17"/>
          <w:szCs w:val="17"/>
          <w:color w:val="auto"/>
        </w:rPr>
        <w:t>The Company was not subject to any material legal proceedings during the years ended December 31, 2025 and 2024, and the Company is not aware of any material legal proceedings that are currently pending or threatened.</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Contracts</w:t>
      </w:r>
    </w:p>
    <w:p>
      <w:pPr>
        <w:spacing w:after="0" w:line="118" w:lineRule="exact"/>
        <w:rPr>
          <w:sz w:val="20"/>
          <w:szCs w:val="20"/>
          <w:color w:val="auto"/>
        </w:rPr>
      </w:pPr>
    </w:p>
    <w:p>
      <w:pPr>
        <w:ind w:right="520" w:firstLine="627"/>
        <w:spacing w:after="0" w:line="277" w:lineRule="auto"/>
        <w:rPr>
          <w:sz w:val="20"/>
          <w:szCs w:val="20"/>
          <w:color w:val="auto"/>
        </w:rPr>
      </w:pPr>
      <w:r>
        <w:rPr>
          <w:rFonts w:ascii="Arial" w:cs="Arial" w:eastAsia="Arial" w:hAnsi="Arial"/>
          <w:sz w:val="17"/>
          <w:szCs w:val="17"/>
          <w:color w:val="auto"/>
        </w:rPr>
        <w:t>The Company is party to various contracts with CROs and CDMOs in the ordinary course of business. These agreements generally provide for termination at any time upon a certain amount of prior notice. Payments upon termination, if any, are based on the timing of the termination and the terms of the agreement.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18" w:lineRule="exact"/>
        <w:rPr>
          <w:sz w:val="20"/>
          <w:szCs w:val="20"/>
          <w:color w:val="auto"/>
        </w:rPr>
      </w:pPr>
    </w:p>
    <w:p>
      <w:pPr>
        <w:ind w:right="280" w:firstLine="627"/>
        <w:spacing w:after="0" w:line="264"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w:t>
      </w:r>
    </w:p>
    <w:p>
      <w:pPr>
        <w:spacing w:after="0" w:line="172" w:lineRule="exact"/>
        <w:rPr>
          <w:sz w:val="20"/>
          <w:szCs w:val="20"/>
          <w:color w:val="auto"/>
        </w:rPr>
      </w:pPr>
    </w:p>
    <w:p>
      <w:pPr>
        <w:ind w:right="20" w:firstLine="627"/>
        <w:spacing w:after="0" w:line="277" w:lineRule="auto"/>
        <w:rPr>
          <w:sz w:val="20"/>
          <w:szCs w:val="20"/>
          <w:color w:val="auto"/>
        </w:rPr>
      </w:pPr>
      <w:r>
        <w:rPr>
          <w:rFonts w:ascii="Arial" w:cs="Arial" w:eastAsia="Arial" w:hAnsi="Arial"/>
          <w:sz w:val="17"/>
          <w:szCs w:val="17"/>
          <w:color w:val="auto"/>
        </w:rPr>
        <w:t>To date the Company has not incurred any material costs as a result of such indemnifications nor experienced any losses related to them. As of December 31, 2025 and 2024, the Company was not aware of any claims under indemnification arrangements and it has not accrued any liabilities related to such obligations.</w:t>
      </w:r>
    </w:p>
    <w:p>
      <w:pPr>
        <w:spacing w:after="0" w:line="261" w:lineRule="exact"/>
        <w:rPr>
          <w:sz w:val="20"/>
          <w:szCs w:val="20"/>
          <w:color w:val="auto"/>
        </w:rPr>
      </w:pPr>
    </w:p>
    <w:p>
      <w:pPr>
        <w:ind w:right="9060" w:firstLine="4"/>
        <w:spacing w:after="0" w:line="385" w:lineRule="auto"/>
        <w:tabs>
          <w:tab w:leader="none" w:pos="193"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License Agreements </w:t>
      </w:r>
      <w:r>
        <w:rPr>
          <w:rFonts w:ascii="Arial" w:cs="Arial" w:eastAsia="Arial" w:hAnsi="Arial"/>
          <w:sz w:val="17"/>
          <w:szCs w:val="17"/>
          <w:b w:val="1"/>
          <w:bCs w:val="1"/>
          <w:i w:val="1"/>
          <w:iCs w:val="1"/>
          <w:color w:val="auto"/>
        </w:rPr>
        <w:t>Sanofi License Agreement</w:t>
      </w:r>
    </w:p>
    <w:p>
      <w:pPr>
        <w:spacing w:after="0" w:line="1" w:lineRule="exact"/>
        <w:rPr>
          <w:sz w:val="20"/>
          <w:szCs w:val="20"/>
          <w:color w:val="auto"/>
        </w:rPr>
      </w:pPr>
    </w:p>
    <w:p>
      <w:pPr>
        <w:ind w:right="300" w:firstLine="627"/>
        <w:spacing w:after="0" w:line="298" w:lineRule="auto"/>
        <w:rPr>
          <w:sz w:val="20"/>
          <w:szCs w:val="20"/>
          <w:color w:val="auto"/>
        </w:rPr>
      </w:pPr>
      <w:r>
        <w:rPr>
          <w:rFonts w:ascii="Arial" w:cs="Arial" w:eastAsia="Arial" w:hAnsi="Arial"/>
          <w:sz w:val="17"/>
          <w:szCs w:val="17"/>
          <w:color w:val="auto"/>
        </w:rPr>
        <w:t>In December 2019, the Company entered into a license agreement, which has been subsequently amended (as amended, the “Sanofi License Agreement”), with Sanofi SA (f/k/a Genzyme) (“Sanofi”), pursuant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to which the Company has been granted an exclusive, sub-licensable, royalty-bearing, worldwide license to develop and commercialize products using the licensed compounds and know-how for CFTR correctors.</w:t>
      </w:r>
    </w:p>
    <w:p>
      <w:pPr>
        <w:spacing w:after="0" w:line="141" w:lineRule="exact"/>
        <w:rPr>
          <w:sz w:val="20"/>
          <w:szCs w:val="20"/>
          <w:color w:val="auto"/>
        </w:rPr>
      </w:pPr>
    </w:p>
    <w:p>
      <w:pPr>
        <w:jc w:val="both"/>
        <w:ind w:right="20" w:firstLine="627"/>
        <w:spacing w:after="0" w:line="264" w:lineRule="auto"/>
        <w:rPr>
          <w:sz w:val="20"/>
          <w:szCs w:val="20"/>
          <w:color w:val="auto"/>
        </w:rPr>
      </w:pPr>
      <w:r>
        <w:rPr>
          <w:rFonts w:ascii="Arial" w:cs="Arial" w:eastAsia="Arial" w:hAnsi="Arial"/>
          <w:sz w:val="17"/>
          <w:szCs w:val="17"/>
          <w:color w:val="auto"/>
        </w:rPr>
        <w:t>As initial consideration for the license, the Company paid a non-refundable, upfront payment of $1.5 million, as well as a reimbursement of $0.3 million for Sanofi’s research and development expenses, which was previously recorded as research and development expense because the acquired license represented in -process research and development with no alternative future use. In addition, the Company is required to pay Sanofi a total of up to $40.0 million upon achievement of certain late-stage developmental and commercial milestones. As of December 31, 2025, no milestones have been achieved. The Company is also required to pay royalties to Sanofi in the low single-digit percentage range based on net sales of licensed products, subject to customary reductions and offsets. Such royalty payments shall be reduced for products covered by derived patents.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CFF Payment Agreement</w:t>
      </w:r>
    </w:p>
    <w:p>
      <w:pPr>
        <w:spacing w:after="0" w:line="118"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In December 2019, the Company entered into a payment agreement (the “CFF Payment Agreement”) with the Cystic Fibrosis Foundation (“CFF”), pursuant to which the Company agreed to provide CFF with compensation in exchange for the grant of, or forbearance from exercising, certain of CFF’s rights existing under the license agreement by and between CFF (through an assignment by Cystic Fibrosis Foundation Therapeutics, Inc.) and Genzyme Corporation, an affiliate of Sanofi (the “CFFT-Genzyme Agreement”). Under the CFF Payment Agreement, the Company is obligated to compensate CFF in connection with the Company’s development and commercialization of licensed products under the Sanofi License Agreement.</w:t>
      </w:r>
    </w:p>
    <w:p>
      <w:pPr>
        <w:spacing w:after="0" w:line="172"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As initial consideration for CFF’s grant of, and forbearance from exercising, its rights under the CFFT-Genzyme Agreement, the Company paid an upfront fee of $0.2 million and issued CFF shares of preferred stock, valued at $1.0 million which were previously recorded as research and development expenses. In addition, the Company agreed to pay CFF a sub-teen double-digit percentage of any amounts paid by it to Sanofi under the Sanofi License Agreement, other than milestone, royalty or reimbursement payments. In addition, the Company is required to pay CFF a total of up to $40.0 million upon achievement of certain late-stage developmental and commercial milestones. In conjunction with the execution of the agreements with Sanofi and CFF in December 2019, a side letter was executed between the Company and Sanofi, which clarifies the relationship between the Company, Sanofi and CFF, under which the Company is obligated to pay Sanofi 20% of the milestones it would have been obligated to pay CFF, net of the milestone amounts it is obligated to pay under the Sanofi License Agreement.</w:t>
      </w:r>
    </w:p>
    <w:p>
      <w:pPr>
        <w:spacing w:after="0" w:line="173" w:lineRule="exact"/>
        <w:rPr>
          <w:sz w:val="20"/>
          <w:szCs w:val="20"/>
          <w:color w:val="auto"/>
        </w:rPr>
      </w:pPr>
    </w:p>
    <w:p>
      <w:pPr>
        <w:ind w:right="60" w:firstLine="627"/>
        <w:spacing w:after="0" w:line="277" w:lineRule="auto"/>
        <w:rPr>
          <w:sz w:val="20"/>
          <w:szCs w:val="20"/>
          <w:color w:val="auto"/>
        </w:rPr>
      </w:pPr>
      <w:r>
        <w:rPr>
          <w:rFonts w:ascii="Arial" w:cs="Arial" w:eastAsia="Arial" w:hAnsi="Arial"/>
          <w:sz w:val="17"/>
          <w:szCs w:val="17"/>
          <w:color w:val="auto"/>
        </w:rPr>
        <w:t>As of December 31, 2025, no milestones have been achieved. The Company is also required to pay revenue-shares of royalty payments to CFF in the low single-digit percentage range based on net sales of licensed products subject to customary reductions and offsets. Such milestone and royalty payments shall be reduced for products covered by derived patents.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Agreement</w:t>
      </w:r>
    </w:p>
    <w:p>
      <w:pPr>
        <w:spacing w:after="0" w:line="118" w:lineRule="exact"/>
        <w:rPr>
          <w:sz w:val="20"/>
          <w:szCs w:val="20"/>
          <w:color w:val="auto"/>
        </w:rPr>
      </w:pPr>
    </w:p>
    <w:p>
      <w:pPr>
        <w:ind w:firstLine="627"/>
        <w:spacing w:after="0" w:line="263" w:lineRule="auto"/>
        <w:rPr>
          <w:sz w:val="20"/>
          <w:szCs w:val="20"/>
          <w:color w:val="auto"/>
        </w:rPr>
      </w:pPr>
      <w:r>
        <w:rPr>
          <w:rFonts w:ascii="Arial" w:cs="Arial" w:eastAsia="Arial" w:hAnsi="Arial"/>
          <w:sz w:val="17"/>
          <w:szCs w:val="17"/>
          <w:color w:val="auto"/>
        </w:rPr>
        <w:t>In July 2024, the Company entered into a license agreement (the “AbbVie License Agreement”) with AbbVie Global Enterprises Ltd. (“AbbVie”), pursuant to which the Company has been granted an exclusive worldwide, royalty-bearing, sublicensable license to research, develop and commercialize certain CFTR compounds. The licensed rights are directed, among other things, to three clinical-stage CFTR modulator assets. The license granted under the AbbVie License Agreement are subject to certain preexisting rights held by AbbVie and Galapagos NV (“Galapagos”). In particular, certain of the licensed patents and other intellectual property rights were developed by or on behalf of Galapagos and are sublicensed to the Company subject to the terms of the second amended and restated collaboration agreement between Galapagos and AbbVie in October 2018 (the “Galapagos License Agreement”), as amended by a side letter between Galapagos and AbbVie in July 2024.</w:t>
      </w:r>
    </w:p>
    <w:p>
      <w:pPr>
        <w:spacing w:after="0" w:line="171" w:lineRule="exact"/>
        <w:rPr>
          <w:sz w:val="20"/>
          <w:szCs w:val="20"/>
          <w:color w:val="auto"/>
        </w:rPr>
      </w:pPr>
    </w:p>
    <w:p>
      <w:pPr>
        <w:ind w:right="320" w:firstLine="627"/>
        <w:spacing w:after="0" w:line="270" w:lineRule="auto"/>
        <w:rPr>
          <w:sz w:val="20"/>
          <w:szCs w:val="20"/>
          <w:color w:val="auto"/>
        </w:rPr>
      </w:pPr>
      <w:r>
        <w:rPr>
          <w:rFonts w:ascii="Arial" w:cs="Arial" w:eastAsia="Arial" w:hAnsi="Arial"/>
          <w:sz w:val="17"/>
          <w:szCs w:val="17"/>
          <w:color w:val="auto"/>
        </w:rPr>
        <w:t>As initial consideration for the license, the Company paid a non-refundable, upfront payment of $5.0 million and issued shares of its common stock with a fair value of $8.6 million to AbbVie. The Company determined that the AbbVie License Agreement represented an asset acquisition as it did not meet the definition of the business. The Company previously recorded the total initial consideration of $13.6 million as research and development expense, because the acquired license represented in-process research and development</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with no alternative future use. In addition, the Company is required to pay AbbVie a total of up to $360.0 million upon achievement of certain development and commercial milestones, consisting of up to $70.0 million in late-stage development milestones and up to $290.0 million in commercial milestones. The Company is also required to pay royalties to AbbVie in the low to mid single-digit percentage range based on net sales of licensed products, subject to customary reductions and offsets.</w:t>
      </w:r>
    </w:p>
    <w:p>
      <w:pPr>
        <w:spacing w:after="0" w:line="165" w:lineRule="exact"/>
        <w:rPr>
          <w:sz w:val="20"/>
          <w:szCs w:val="20"/>
          <w:color w:val="auto"/>
        </w:rPr>
      </w:pPr>
    </w:p>
    <w:p>
      <w:pPr>
        <w:ind w:right="140" w:firstLine="627"/>
        <w:spacing w:after="0" w:line="270" w:lineRule="auto"/>
        <w:rPr>
          <w:sz w:val="20"/>
          <w:szCs w:val="20"/>
          <w:color w:val="auto"/>
        </w:rPr>
      </w:pPr>
      <w:r>
        <w:rPr>
          <w:rFonts w:ascii="Arial" w:cs="Arial" w:eastAsia="Arial" w:hAnsi="Arial"/>
          <w:sz w:val="17"/>
          <w:szCs w:val="17"/>
          <w:color w:val="auto"/>
        </w:rPr>
        <w:t>In addition, the Company is required to pay AbbVie up to $130.0 million in commercial and sales-based milestone payments, mid to high single-digit royalties on the licensed products, or other payments due to Galapagos pursuant to the Galapagos License Agreement, to the extent such payments are triggered by the Company’s use of the licensed rights owned by Galapagos under the AbbVie License Agreement. As of December 31, 2025, none of such milestones under the AbbVie License Agreement and Galapagos License Agreement have been achieved.</w:t>
      </w:r>
    </w:p>
    <w:p>
      <w:pPr>
        <w:spacing w:after="0" w:line="267" w:lineRule="exact"/>
        <w:rPr>
          <w:sz w:val="20"/>
          <w:szCs w:val="20"/>
          <w:color w:val="auto"/>
        </w:rPr>
      </w:pPr>
    </w:p>
    <w:p>
      <w:pPr>
        <w:ind w:right="8640" w:firstLine="4"/>
        <w:spacing w:after="0" w:line="385" w:lineRule="auto"/>
        <w:tabs>
          <w:tab w:leader="none" w:pos="29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w:t>
      </w:r>
      <w:r>
        <w:rPr>
          <w:rFonts w:ascii="Arial" w:cs="Arial" w:eastAsia="Arial" w:hAnsi="Arial"/>
          <w:sz w:val="17"/>
          <w:szCs w:val="17"/>
          <w:b w:val="1"/>
          <w:bCs w:val="1"/>
          <w:i w:val="1"/>
          <w:iCs w:val="1"/>
          <w:color w:val="auto"/>
        </w:rPr>
        <w:t>Series Seed</w:t>
      </w:r>
    </w:p>
    <w:p>
      <w:pPr>
        <w:spacing w:after="0" w:line="1"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In December 2019, the Company issued and sold 2,762,762 shares of Series Seed convertible preferred stock, par value $ 0.001 per share (“Series Seed Preferred Stock”) to certain investors at a purchase price of $3.33 per share, for gross proceeds of $8.2 million (the “Series Seed Financing”). As disclosed in Note 9, the Company issued Series Seed Preferred Stock to CFF in connection with the CFF Payment Agreement. One investor was also issued 684,415 shares of common stock in connection with the initial Series Seed Financing closing. The proceeds from that investor were allocated between the Series Seed Preferred Stock and common stock on a relative fair value basis. There were no material issuance costs incurred related to this financing.</w:t>
      </w:r>
    </w:p>
    <w:p>
      <w:pPr>
        <w:spacing w:after="0" w:line="172" w:lineRule="exact"/>
        <w:rPr>
          <w:sz w:val="20"/>
          <w:szCs w:val="20"/>
          <w:color w:val="auto"/>
        </w:rPr>
      </w:pPr>
    </w:p>
    <w:p>
      <w:pPr>
        <w:ind w:right="180" w:firstLine="627"/>
        <w:spacing w:after="0" w:line="298" w:lineRule="auto"/>
        <w:rPr>
          <w:sz w:val="20"/>
          <w:szCs w:val="20"/>
          <w:color w:val="auto"/>
        </w:rPr>
      </w:pPr>
      <w:r>
        <w:rPr>
          <w:rFonts w:ascii="Arial" w:cs="Arial" w:eastAsia="Arial" w:hAnsi="Arial"/>
          <w:sz w:val="17"/>
          <w:szCs w:val="17"/>
          <w:color w:val="auto"/>
        </w:rPr>
        <w:t>In June 2020, the Company issued an additional 1,201,202 shares of Series Seed Preferred Stock to an additional investor at $3.33 per share for gross proceeds of $4.0 million. The Company incurred $38,887 of issuance costs in connection with this issuance.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w:t>
      </w:r>
    </w:p>
    <w:p>
      <w:pPr>
        <w:spacing w:after="0" w:line="118" w:lineRule="exact"/>
        <w:rPr>
          <w:sz w:val="20"/>
          <w:szCs w:val="20"/>
          <w:color w:val="auto"/>
        </w:rPr>
      </w:pPr>
    </w:p>
    <w:p>
      <w:pPr>
        <w:ind w:right="80" w:firstLine="627"/>
        <w:spacing w:after="0" w:line="277" w:lineRule="auto"/>
        <w:rPr>
          <w:sz w:val="20"/>
          <w:szCs w:val="20"/>
          <w:color w:val="auto"/>
        </w:rPr>
      </w:pPr>
      <w:r>
        <w:rPr>
          <w:rFonts w:ascii="Arial" w:cs="Arial" w:eastAsia="Arial" w:hAnsi="Arial"/>
          <w:sz w:val="17"/>
          <w:szCs w:val="17"/>
          <w:color w:val="auto"/>
        </w:rPr>
        <w:t>In September 2020, the Company issued and sold 5,704,161 shares of Series A convertible preferred stock, par value $0.001 per share (“Series A Preferred Stock”), at a purchase price of $ 4.43 per share, for gross proceeds of $25.3 million (the “Series A Financing”). The Company incurred $0.1 million of issuance costs in connection with the Series A Financing.</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w:t>
      </w:r>
    </w:p>
    <w:p>
      <w:pPr>
        <w:spacing w:after="0" w:line="118"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In February 2022, the Company issued and sold 11,370,621 shares of Series B convertible preferred stock, par value $0.001 per share (“Series B Preferred Stock”), at a purchase price of $ 9.76 per share, for gross proceeds of $111.0 million (the “Series B Financing”). The Company incurred $0.2 million of issuance costs in connection with the Series B Financing.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C</w:t>
      </w:r>
    </w:p>
    <w:p>
      <w:pPr>
        <w:spacing w:after="0" w:line="118" w:lineRule="exact"/>
        <w:rPr>
          <w:sz w:val="20"/>
          <w:szCs w:val="20"/>
          <w:color w:val="auto"/>
        </w:rPr>
      </w:pPr>
    </w:p>
    <w:p>
      <w:pPr>
        <w:ind w:firstLine="627"/>
        <w:spacing w:after="0" w:line="277" w:lineRule="auto"/>
        <w:rPr>
          <w:sz w:val="20"/>
          <w:szCs w:val="20"/>
          <w:color w:val="auto"/>
        </w:rPr>
      </w:pPr>
      <w:r>
        <w:rPr>
          <w:rFonts w:ascii="Arial" w:cs="Arial" w:eastAsia="Arial" w:hAnsi="Arial"/>
          <w:sz w:val="17"/>
          <w:szCs w:val="17"/>
          <w:color w:val="auto"/>
        </w:rPr>
        <w:t>In March 2024, the Company issued and sold 18,628,970 shares of Series C convertible preferred stock, par value $0.001 per share (“Series C Preferred Stock”) at a purchase price of $ 9.76 per share, for gross proceeds of $181.9 million (the “Series C Financing”). The Company incurred $0.5 million of issuance costs in connection with the Series C Financing.</w:t>
      </w:r>
    </w:p>
    <w:p>
      <w:pPr>
        <w:spacing w:after="0" w:line="159" w:lineRule="exact"/>
        <w:rPr>
          <w:sz w:val="20"/>
          <w:szCs w:val="20"/>
          <w:color w:val="auto"/>
        </w:rPr>
      </w:pPr>
    </w:p>
    <w:p>
      <w:pPr>
        <w:ind w:right="220" w:firstLine="627"/>
        <w:spacing w:after="0" w:line="298" w:lineRule="auto"/>
        <w:rPr>
          <w:sz w:val="20"/>
          <w:szCs w:val="20"/>
          <w:color w:val="auto"/>
        </w:rPr>
      </w:pPr>
      <w:r>
        <w:rPr>
          <w:rFonts w:ascii="Arial" w:cs="Arial" w:eastAsia="Arial" w:hAnsi="Arial"/>
          <w:sz w:val="17"/>
          <w:szCs w:val="17"/>
          <w:color w:val="auto"/>
        </w:rPr>
        <w:t>Upon issuance of the Series Seed, Series A, Series B, and Series C convertible preferred stock (collectively, the “Preferred Stock”), the Company evaluated the embedded conversion and liquidation features and determined that separate accounting was not required.</w:t>
      </w:r>
    </w:p>
    <w:p>
      <w:pPr>
        <w:spacing w:after="0" w:line="141" w:lineRule="exact"/>
        <w:rPr>
          <w:sz w:val="20"/>
          <w:szCs w:val="20"/>
          <w:color w:val="auto"/>
        </w:rPr>
      </w:pPr>
    </w:p>
    <w:p>
      <w:pPr>
        <w:ind w:right="500" w:firstLine="627"/>
        <w:spacing w:after="0" w:line="298" w:lineRule="auto"/>
        <w:rPr>
          <w:sz w:val="20"/>
          <w:szCs w:val="20"/>
          <w:color w:val="auto"/>
        </w:rPr>
      </w:pPr>
      <w:r>
        <w:rPr>
          <w:rFonts w:ascii="Arial" w:cs="Arial" w:eastAsia="Arial" w:hAnsi="Arial"/>
          <w:sz w:val="17"/>
          <w:szCs w:val="17"/>
          <w:color w:val="auto"/>
        </w:rPr>
        <w:t>Upon completion of the Company’s IPO, all outstanding shares of convertible preferred stock automatically converted into shares of common stock. As of December 31, 2025, no shares of convertible preferred stock were outstanding.</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firstLine="627"/>
        <w:spacing w:after="0" w:line="266" w:lineRule="auto"/>
        <w:rPr>
          <w:sz w:val="20"/>
          <w:szCs w:val="20"/>
          <w:color w:val="auto"/>
        </w:rPr>
      </w:pPr>
      <w:r>
        <w:rPr>
          <w:rFonts w:ascii="Arial" w:cs="Arial" w:eastAsia="Arial" w:hAnsi="Arial"/>
          <w:sz w:val="17"/>
          <w:szCs w:val="17"/>
          <w:color w:val="auto"/>
        </w:rPr>
        <w:t>The Board of Directors of the Company (the “Board”) is authorized to issue up to 10,000,000 shares of preferred stock and may fix the price, rights, preferences, privileges, and restrictions of the preferred stock without any further vote or action by our stockholders. The Board may authorize the issuance of preferred stock with voting or conversion rights that could adversely affect the voting power or other rights of the holders of common stock. As of December 31, 2025, the Company had no shares of preferred stock issued or outstanding and preferred stock is classified within stockholders’ equity.</w:t>
      </w:r>
    </w:p>
    <w:p>
      <w:pPr>
        <w:spacing w:after="0" w:line="272" w:lineRule="exact"/>
        <w:rPr>
          <w:sz w:val="20"/>
          <w:szCs w:val="20"/>
          <w:color w:val="auto"/>
        </w:rPr>
      </w:pPr>
    </w:p>
    <w:p>
      <w:pPr>
        <w:ind w:right="7600" w:firstLine="4"/>
        <w:spacing w:after="0" w:line="385" w:lineRule="auto"/>
        <w:tabs>
          <w:tab w:leader="none" w:pos="281"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Common Stock &amp; Equity Incentive Plans </w:t>
      </w:r>
      <w:r>
        <w:rPr>
          <w:rFonts w:ascii="Arial" w:cs="Arial" w:eastAsia="Arial" w:hAnsi="Arial"/>
          <w:sz w:val="17"/>
          <w:szCs w:val="17"/>
          <w:b w:val="1"/>
          <w:bCs w:val="1"/>
          <w:i w:val="1"/>
          <w:iCs w:val="1"/>
          <w:color w:val="auto"/>
        </w:rPr>
        <w:t>Common Stock Rights</w:t>
      </w:r>
    </w:p>
    <w:p>
      <w:pPr>
        <w:spacing w:after="0" w:line="1" w:lineRule="exact"/>
        <w:rPr>
          <w:sz w:val="20"/>
          <w:szCs w:val="20"/>
          <w:color w:val="auto"/>
        </w:rPr>
      </w:pPr>
    </w:p>
    <w:p>
      <w:pPr>
        <w:ind w:right="40" w:firstLine="627"/>
        <w:spacing w:after="0" w:line="274" w:lineRule="auto"/>
        <w:rPr>
          <w:sz w:val="20"/>
          <w:szCs w:val="20"/>
          <w:color w:val="auto"/>
        </w:rPr>
      </w:pPr>
      <w:r>
        <w:rPr>
          <w:rFonts w:ascii="Arial" w:cs="Arial" w:eastAsia="Arial" w:hAnsi="Arial"/>
          <w:sz w:val="17"/>
          <w:szCs w:val="17"/>
          <w:color w:val="auto"/>
        </w:rPr>
        <w:t>The holders of the Company’s common stock are entitled to one vote per share on all matters submitted to a vote of stockholders, subject to applicable law. The holders of common stock are also entitled to receive dividends, if any, as may be declared by the Company’s board of directors, and to share ratably in the Company’s assets legally available for distribution upon liquidation, dissolution, or winding up of the Company.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 Stock Option and Grant Plan</w:t>
      </w:r>
    </w:p>
    <w:p>
      <w:pPr>
        <w:spacing w:after="0" w:line="118" w:lineRule="exact"/>
        <w:rPr>
          <w:sz w:val="20"/>
          <w:szCs w:val="20"/>
          <w:color w:val="auto"/>
        </w:rPr>
      </w:pPr>
    </w:p>
    <w:p>
      <w:pPr>
        <w:jc w:val="both"/>
        <w:ind w:right="120" w:firstLine="627"/>
        <w:spacing w:after="0" w:line="277" w:lineRule="auto"/>
        <w:rPr>
          <w:sz w:val="20"/>
          <w:szCs w:val="20"/>
          <w:color w:val="auto"/>
        </w:rPr>
      </w:pPr>
      <w:r>
        <w:rPr>
          <w:rFonts w:ascii="Arial" w:cs="Arial" w:eastAsia="Arial" w:hAnsi="Arial"/>
          <w:sz w:val="17"/>
          <w:szCs w:val="17"/>
          <w:color w:val="auto"/>
        </w:rPr>
        <w:t>The Company’s 2020 Stock Option and Grant Plan, as amended (the “2020 Plan”), previously provided for the Company to sell or issue common stock or restricted common stock, or to grant incentive stock options or nonqualified stock options for the purchase of common stock, to employees, members of the Board and consultants of the Company. The 2020 Plan was administered by the Board.</w:t>
      </w:r>
    </w:p>
    <w:p>
      <w:pPr>
        <w:spacing w:after="0" w:line="159" w:lineRule="exact"/>
        <w:rPr>
          <w:sz w:val="20"/>
          <w:szCs w:val="20"/>
          <w:color w:val="auto"/>
        </w:rPr>
      </w:pPr>
    </w:p>
    <w:p>
      <w:pPr>
        <w:ind w:right="320" w:firstLine="627"/>
        <w:spacing w:after="0" w:line="277" w:lineRule="auto"/>
        <w:rPr>
          <w:sz w:val="20"/>
          <w:szCs w:val="20"/>
          <w:color w:val="auto"/>
        </w:rPr>
      </w:pPr>
      <w:r>
        <w:rPr>
          <w:rFonts w:ascii="Arial" w:cs="Arial" w:eastAsia="Arial" w:hAnsi="Arial"/>
          <w:sz w:val="17"/>
          <w:szCs w:val="17"/>
          <w:color w:val="auto"/>
        </w:rPr>
        <w:t>As of December 31, 2025, no shares of common stock remained available for future grants under the 2020 Plan. Outstanding stock options and restricted common stock awards granted under the 2020 Plan generally vest over four years and expire ten years after the date of grant, and certain awards provide for accelerated vesting upon a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2025 Stock Option and Grant Plan</w:t>
      </w:r>
    </w:p>
    <w:p>
      <w:pPr>
        <w:spacing w:after="0" w:line="222"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In January 2025, the Board of Directors and the Company’s stockholders adopted and approved the 2025 Equity Incentive Plan (the “2025 Plan”), which became effective on February 5, 2025, immediately prior to the effectiveness of the Company’s registration statement on Form S-1 for its IPO. The 2025 Plan initially reserved 5,060,000 shares of common stock for issuance and includes an evergreen provision pursuant to which the number of shares reserved for issuance may be automatically increased on an annual basis. Beginning in 2026, the number of shares reserved under the 2025 Plan shall automatically increase annually on January 1 by up to 4% of the total number of shares of common stock outstanding, unless the Board of Directors determines otherwise.</w:t>
      </w:r>
    </w:p>
    <w:p>
      <w:pPr>
        <w:spacing w:after="0" w:line="172" w:lineRule="exact"/>
        <w:rPr>
          <w:sz w:val="20"/>
          <w:szCs w:val="20"/>
          <w:color w:val="auto"/>
        </w:rPr>
      </w:pPr>
    </w:p>
    <w:p>
      <w:pPr>
        <w:ind w:right="140" w:firstLine="627"/>
        <w:spacing w:after="0" w:line="277" w:lineRule="auto"/>
        <w:rPr>
          <w:sz w:val="20"/>
          <w:szCs w:val="20"/>
          <w:color w:val="auto"/>
        </w:rPr>
      </w:pPr>
      <w:r>
        <w:rPr>
          <w:rFonts w:ascii="Arial" w:cs="Arial" w:eastAsia="Arial" w:hAnsi="Arial"/>
          <w:sz w:val="17"/>
          <w:szCs w:val="17"/>
          <w:color w:val="auto"/>
        </w:rPr>
        <w:t>The shares reserved for issuance under the 2020 Stock Option and Grant Plan ceased to be available for issuance upon the effectiveness of the 2025 Plan. Any shares subject to outstanding awards under the 2020 Plan that subsequently expire, are forfeited, cancelled, repurchased, or withheld will become available for issuance under the 2025 Plan.</w:t>
      </w:r>
    </w:p>
    <w:p>
      <w:pPr>
        <w:spacing w:after="0" w:line="159" w:lineRule="exact"/>
        <w:rPr>
          <w:sz w:val="20"/>
          <w:szCs w:val="20"/>
          <w:color w:val="auto"/>
        </w:rPr>
      </w:pPr>
    </w:p>
    <w:p>
      <w:pPr>
        <w:ind w:right="60" w:firstLine="627"/>
        <w:spacing w:after="0" w:line="277" w:lineRule="auto"/>
        <w:rPr>
          <w:sz w:val="20"/>
          <w:szCs w:val="20"/>
          <w:color w:val="auto"/>
        </w:rPr>
      </w:pPr>
      <w:r>
        <w:rPr>
          <w:rFonts w:ascii="Arial" w:cs="Arial" w:eastAsia="Arial" w:hAnsi="Arial"/>
          <w:sz w:val="17"/>
          <w:szCs w:val="17"/>
          <w:color w:val="auto"/>
        </w:rPr>
        <w:t>As of December 31, 2025, 2,393,345 shares of common stock remained available for future grants under the 2025 Plan. Outstanding stock options and restricted common stock awards granted under the 2025 Plan generally vest over four years and expire ten years after the date of grant, and certain awards provide for accelerated vesting upon a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2025 Employee Stock Purchase Plan</w:t>
      </w:r>
    </w:p>
    <w:p>
      <w:pPr>
        <w:spacing w:after="0" w:line="222" w:lineRule="exact"/>
        <w:rPr>
          <w:sz w:val="20"/>
          <w:szCs w:val="20"/>
          <w:color w:val="auto"/>
        </w:rPr>
      </w:pPr>
    </w:p>
    <w:p>
      <w:pPr>
        <w:ind w:firstLine="627"/>
        <w:spacing w:after="0" w:line="266" w:lineRule="auto"/>
        <w:rPr>
          <w:sz w:val="20"/>
          <w:szCs w:val="20"/>
          <w:color w:val="auto"/>
        </w:rPr>
      </w:pPr>
      <w:r>
        <w:rPr>
          <w:rFonts w:ascii="Arial" w:cs="Arial" w:eastAsia="Arial" w:hAnsi="Arial"/>
          <w:sz w:val="17"/>
          <w:szCs w:val="17"/>
          <w:color w:val="auto"/>
        </w:rPr>
        <w:t>In January 2025, the Board of Directors and the Company’s stockholders adopted and approved the 2025 Employee Stock Purchase Plan (the “2025 ESPP”), which became effective on February 5, 2025, immediately prior to the effectiveness of the Company’s registration statement on Form S-1 for its IPO. The 2025 ESPP initially reserved 390,127 shares of common stock for issuance and includes an evergreen provision pursuant to which the number of shares reserved for issuance may be automatically increased on an annual basis. Beginning in 2026, the number of shares reserved under the 2025 Plan shall automatically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color w:val="auto"/>
        </w:rPr>
        <w:t>increase annually on January 1 by up to 1% of the total number of shares of common stock outstanding, unless the Board of Directors determines otherwise, but not to exceed 780,254 shares.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2025, no offering periods had commenced under the 2025 ESPP.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Shares Reserved for Issuance</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number of shares of common stock reserved for issuance under the Company's equity incentive plans is as follow: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80" w:type="dxa"/>
            <w:vAlign w:val="bottom"/>
          </w:tcPr>
          <w:p>
            <w:pPr>
              <w:spacing w:after="0"/>
              <w:rPr>
                <w:sz w:val="17"/>
                <w:szCs w:val="17"/>
                <w:color w:val="auto"/>
              </w:rPr>
            </w:pPr>
          </w:p>
        </w:tc>
        <w:tc>
          <w:tcPr>
            <w:tcW w:w="30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Year Ended December 31,</w:t>
            </w:r>
          </w:p>
        </w:tc>
      </w:tr>
      <w:tr>
        <w:trPr>
          <w:trHeight w:val="215"/>
        </w:trPr>
        <w:tc>
          <w:tcPr>
            <w:tcW w:w="81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27,149,206</w:t>
            </w:r>
          </w:p>
        </w:tc>
      </w:tr>
      <w:tr>
        <w:trPr>
          <w:trHeight w:val="239"/>
        </w:trPr>
        <w:tc>
          <w:tcPr>
            <w:tcW w:w="8180" w:type="dxa"/>
            <w:vAlign w:val="bottom"/>
          </w:tcPr>
          <w:p>
            <w:pPr>
              <w:ind w:left="20"/>
              <w:spacing w:after="0"/>
              <w:rPr>
                <w:sz w:val="20"/>
                <w:szCs w:val="20"/>
                <w:color w:val="auto"/>
              </w:rPr>
            </w:pPr>
            <w:r>
              <w:rPr>
                <w:rFonts w:ascii="Arial" w:cs="Arial" w:eastAsia="Arial" w:hAnsi="Arial"/>
                <w:sz w:val="17"/>
                <w:szCs w:val="17"/>
                <w:color w:val="auto"/>
              </w:rPr>
              <w:t>Options to purchase common stock</w:t>
            </w:r>
          </w:p>
        </w:tc>
        <w:tc>
          <w:tcPr>
            <w:tcW w:w="1480" w:type="dxa"/>
            <w:vAlign w:val="bottom"/>
          </w:tcPr>
          <w:p>
            <w:pPr>
              <w:jc w:val="right"/>
              <w:spacing w:after="0"/>
              <w:rPr>
                <w:sz w:val="20"/>
                <w:szCs w:val="20"/>
                <w:color w:val="auto"/>
              </w:rPr>
            </w:pPr>
            <w:r>
              <w:rPr>
                <w:rFonts w:ascii="Arial" w:cs="Arial" w:eastAsia="Arial" w:hAnsi="Arial"/>
                <w:sz w:val="17"/>
                <w:szCs w:val="17"/>
                <w:color w:val="auto"/>
              </w:rPr>
              <w:t>5,767,799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3,700,335</w:t>
            </w:r>
          </w:p>
        </w:tc>
      </w:tr>
      <w:tr>
        <w:trPr>
          <w:trHeight w:val="22"/>
        </w:trPr>
        <w:tc>
          <w:tcPr>
            <w:tcW w:w="8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Remaining shares reserved for future issuance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2,393,345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1,035,891</w:t>
            </w:r>
          </w:p>
        </w:tc>
      </w:tr>
      <w:tr>
        <w:trPr>
          <w:trHeight w:val="239"/>
        </w:trPr>
        <w:tc>
          <w:tcPr>
            <w:tcW w:w="8180" w:type="dxa"/>
            <w:vAlign w:val="bottom"/>
          </w:tcPr>
          <w:p>
            <w:pPr>
              <w:ind w:left="20"/>
              <w:spacing w:after="0"/>
              <w:rPr>
                <w:sz w:val="20"/>
                <w:szCs w:val="20"/>
                <w:color w:val="auto"/>
              </w:rPr>
            </w:pPr>
            <w:r>
              <w:rPr>
                <w:rFonts w:ascii="Arial" w:cs="Arial" w:eastAsia="Arial" w:hAnsi="Arial"/>
                <w:sz w:val="17"/>
                <w:szCs w:val="17"/>
                <w:color w:val="auto"/>
              </w:rPr>
              <w:t>Unvested restricted common stock</w:t>
            </w:r>
          </w:p>
        </w:tc>
        <w:tc>
          <w:tcPr>
            <w:tcW w:w="15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75,958</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8,161,144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31,961,390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right="8640" w:firstLine="4"/>
        <w:spacing w:after="0" w:line="385" w:lineRule="auto"/>
        <w:tabs>
          <w:tab w:leader="none" w:pos="29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Restricted Common Stock</w:t>
      </w:r>
    </w:p>
    <w:p>
      <w:pPr>
        <w:spacing w:after="0" w:line="1"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color w:val="auto"/>
        </w:rPr>
        <w:t>A summary of the Company’s restricted common stock activity during the year ended December 31, 2025, is presented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60" w:type="dxa"/>
            <w:vAlign w:val="bottom"/>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9"/>
              </w:rPr>
              <w:t>Weighted-Average Per-Share</w:t>
            </w:r>
          </w:p>
        </w:tc>
      </w:tr>
      <w:tr>
        <w:trPr>
          <w:trHeight w:val="192"/>
        </w:trPr>
        <w:tc>
          <w:tcPr>
            <w:tcW w:w="77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Restricted Shares</w:t>
            </w: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7"/>
              </w:rPr>
              <w:t>Grant-Date Fair Value</w:t>
            </w:r>
          </w:p>
        </w:tc>
      </w:tr>
      <w:tr>
        <w:trPr>
          <w:trHeight w:val="26"/>
        </w:trPr>
        <w:tc>
          <w:tcPr>
            <w:tcW w:w="77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December 31, 2024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75,958</w:t>
            </w:r>
          </w:p>
        </w:tc>
        <w:tc>
          <w:tcPr>
            <w:tcW w:w="214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7"/>
                <w:szCs w:val="17"/>
                <w:color w:val="auto"/>
              </w:rPr>
              <w:t>$0.78</w:t>
            </w:r>
          </w:p>
        </w:tc>
      </w:tr>
      <w:tr>
        <w:trPr>
          <w:trHeight w:val="239"/>
        </w:trPr>
        <w:tc>
          <w:tcPr>
            <w:tcW w:w="7740" w:type="dxa"/>
            <w:vAlign w:val="bottom"/>
          </w:tcPr>
          <w:p>
            <w:pPr>
              <w:ind w:left="420"/>
              <w:spacing w:after="0"/>
              <w:rPr>
                <w:sz w:val="20"/>
                <w:szCs w:val="20"/>
                <w:color w:val="auto"/>
              </w:rPr>
            </w:pPr>
            <w:r>
              <w:rPr>
                <w:rFonts w:ascii="Arial" w:cs="Arial" w:eastAsia="Arial" w:hAnsi="Arial"/>
                <w:sz w:val="17"/>
                <w:szCs w:val="17"/>
                <w:color w:val="auto"/>
              </w:rPr>
              <w:t>Vested</w:t>
            </w:r>
          </w:p>
        </w:tc>
        <w:tc>
          <w:tcPr>
            <w:tcW w:w="1360" w:type="dxa"/>
            <w:vAlign w:val="bottom"/>
          </w:tcPr>
          <w:p>
            <w:pPr>
              <w:jc w:val="right"/>
              <w:spacing w:after="0"/>
              <w:rPr>
                <w:sz w:val="20"/>
                <w:szCs w:val="20"/>
                <w:color w:val="auto"/>
              </w:rPr>
            </w:pPr>
            <w:r>
              <w:rPr>
                <w:rFonts w:ascii="Arial" w:cs="Arial" w:eastAsia="Arial" w:hAnsi="Arial"/>
                <w:sz w:val="17"/>
                <w:szCs w:val="17"/>
                <w:color w:val="auto"/>
              </w:rPr>
              <w:t>(75,958)</w:t>
            </w:r>
          </w:p>
        </w:tc>
        <w:tc>
          <w:tcPr>
            <w:tcW w:w="2140" w:type="dxa"/>
            <w:vAlign w:val="bottom"/>
            <w:gridSpan w:val="2"/>
          </w:tcPr>
          <w:p>
            <w:pPr>
              <w:jc w:val="center"/>
              <w:ind w:left="13"/>
              <w:spacing w:after="0"/>
              <w:rPr>
                <w:sz w:val="20"/>
                <w:szCs w:val="20"/>
                <w:color w:val="auto"/>
              </w:rPr>
            </w:pPr>
            <w:r>
              <w:rPr>
                <w:rFonts w:ascii="Arial" w:cs="Arial" w:eastAsia="Arial" w:hAnsi="Arial"/>
                <w:sz w:val="17"/>
                <w:szCs w:val="17"/>
                <w:color w:val="auto"/>
              </w:rPr>
              <w:t>$0.78</w:t>
            </w:r>
          </w:p>
        </w:tc>
      </w:tr>
      <w:tr>
        <w:trPr>
          <w:trHeight w:val="22"/>
        </w:trPr>
        <w:tc>
          <w:tcPr>
            <w:tcW w:w="77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r>
      <w:tr>
        <w:trPr>
          <w:trHeight w:val="27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December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r>
    </w:tbl>
    <w:p>
      <w:pPr>
        <w:spacing w:after="0" w:line="270" w:lineRule="exact"/>
        <w:rPr>
          <w:sz w:val="20"/>
          <w:szCs w:val="20"/>
          <w:color w:val="auto"/>
        </w:rPr>
      </w:pPr>
    </w:p>
    <w:p>
      <w:pPr>
        <w:ind w:right="100" w:firstLine="627"/>
        <w:spacing w:after="0" w:line="270" w:lineRule="auto"/>
        <w:rPr>
          <w:sz w:val="20"/>
          <w:szCs w:val="20"/>
          <w:color w:val="auto"/>
        </w:rPr>
      </w:pPr>
      <w:r>
        <w:rPr>
          <w:rFonts w:ascii="Arial" w:cs="Arial" w:eastAsia="Arial" w:hAnsi="Arial"/>
          <w:sz w:val="17"/>
          <w:szCs w:val="17"/>
          <w:color w:val="auto"/>
        </w:rPr>
        <w:t>The Company did not issue shares of restricted common stock to founders and officers during the years ended December 31, 2025 or 2024. For the years ended December 31, 2025 and 2024, the liability related to the payments received for shares of unvested restricted common stock was de minimis. The aggregate fair value of restricted common stock awards that vested during the years ended December 31, 2025 and 2024, was $1.0 million and $1.3 million, respectively. The final vesting conditions for the restricted common stock awards were met in June 2025.</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Valuation</w:t>
      </w:r>
    </w:p>
    <w:p>
      <w:pPr>
        <w:spacing w:after="0" w:line="118" w:lineRule="exact"/>
        <w:rPr>
          <w:sz w:val="20"/>
          <w:szCs w:val="20"/>
          <w:color w:val="auto"/>
        </w:rPr>
      </w:pPr>
    </w:p>
    <w:p>
      <w:pPr>
        <w:ind w:right="420" w:firstLine="627"/>
        <w:spacing w:after="0" w:line="298" w:lineRule="auto"/>
        <w:rPr>
          <w:sz w:val="20"/>
          <w:szCs w:val="20"/>
          <w:color w:val="auto"/>
        </w:rPr>
      </w:pPr>
      <w:r>
        <w:rPr>
          <w:rFonts w:ascii="Arial" w:cs="Arial" w:eastAsia="Arial" w:hAnsi="Arial"/>
          <w:sz w:val="17"/>
          <w:szCs w:val="17"/>
          <w:color w:val="auto"/>
        </w:rPr>
        <w:t>The weighted-average assumptions used to determine the fair values of stock options granted to employees and directors during the years ended December 31, 2025 and 2024, are presented as follows:</w:t>
      </w:r>
    </w:p>
    <w:p>
      <w:pPr>
        <w:spacing w:after="0" w:line="201"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5034280</wp:posOffset>
            </wp:positionH>
            <wp:positionV relativeFrom="paragraph">
              <wp:posOffset>27940</wp:posOffset>
            </wp:positionV>
            <wp:extent cx="21056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0566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9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2024</w:t>
            </w:r>
          </w:p>
        </w:tc>
      </w:tr>
      <w:tr>
        <w:trPr>
          <w:trHeight w:val="241"/>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6.0</w:t>
            </w:r>
          </w:p>
        </w:tc>
      </w:tr>
      <w:tr>
        <w:trPr>
          <w:trHeight w:val="239"/>
        </w:trPr>
        <w:tc>
          <w:tcPr>
            <w:tcW w:w="8940" w:type="dxa"/>
            <w:vAlign w:val="bottom"/>
            <w:gridSpan w:val="2"/>
          </w:tcPr>
          <w:p>
            <w:pPr>
              <w:ind w:left="20"/>
              <w:spacing w:after="0"/>
              <w:rPr>
                <w:sz w:val="20"/>
                <w:szCs w:val="20"/>
                <w:color w:val="auto"/>
              </w:rPr>
            </w:pPr>
            <w:r>
              <w:rPr>
                <w:rFonts w:ascii="Arial" w:cs="Arial" w:eastAsia="Arial" w:hAnsi="Arial"/>
                <w:sz w:val="17"/>
                <w:szCs w:val="17"/>
                <w:color w:val="auto"/>
              </w:rPr>
              <w:t>Volatility</w:t>
            </w:r>
          </w:p>
        </w:tc>
        <w:tc>
          <w:tcPr>
            <w:tcW w:w="600" w:type="dxa"/>
            <w:vAlign w:val="bottom"/>
          </w:tcPr>
          <w:p>
            <w:pPr>
              <w:jc w:val="right"/>
              <w:spacing w:after="0"/>
              <w:rPr>
                <w:sz w:val="20"/>
                <w:szCs w:val="20"/>
                <w:color w:val="auto"/>
              </w:rPr>
            </w:pPr>
            <w:r>
              <w:rPr>
                <w:rFonts w:ascii="Arial" w:cs="Arial" w:eastAsia="Arial" w:hAnsi="Arial"/>
                <w:sz w:val="17"/>
                <w:szCs w:val="17"/>
                <w:color w:val="auto"/>
              </w:rPr>
              <w:t>82.4%</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83.9%</w:t>
            </w:r>
          </w:p>
        </w:tc>
      </w:tr>
      <w:tr>
        <w:trPr>
          <w:trHeight w:val="22"/>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41"/>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Interest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39"/>
        </w:trPr>
        <w:tc>
          <w:tcPr>
            <w:tcW w:w="8940" w:type="dxa"/>
            <w:vAlign w:val="bottom"/>
            <w:gridSpan w:val="2"/>
          </w:tcPr>
          <w:p>
            <w:pPr>
              <w:ind w:left="20"/>
              <w:spacing w:after="0"/>
              <w:rPr>
                <w:sz w:val="20"/>
                <w:szCs w:val="20"/>
                <w:color w:val="auto"/>
              </w:rPr>
            </w:pPr>
            <w:r>
              <w:rPr>
                <w:rFonts w:ascii="Arial" w:cs="Arial" w:eastAsia="Arial" w:hAnsi="Arial"/>
                <w:sz w:val="17"/>
                <w:szCs w:val="17"/>
                <w:color w:val="auto"/>
              </w:rPr>
              <w:t>Dividend yield</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96"/>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Company’s common stock option activity for the year ended December 31, 2025:</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Weighted-Average</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57"/>
        </w:trPr>
        <w:tc>
          <w:tcPr>
            <w:tcW w:w="4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92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9"/>
              </w:rPr>
              <w:t>Remaining Contractual</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5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7"/>
                <w:szCs w:val="17"/>
                <w:color w:val="auto"/>
              </w:rPr>
            </w:pPr>
          </w:p>
        </w:tc>
        <w:tc>
          <w:tcPr>
            <w:tcW w:w="18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 years)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3,700,335</w:t>
            </w:r>
          </w:p>
        </w:tc>
        <w:tc>
          <w:tcPr>
            <w:tcW w:w="1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$5.87</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8.3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$16,522</w:t>
            </w:r>
          </w:p>
        </w:tc>
        <w:tc>
          <w:tcPr>
            <w:tcW w:w="0" w:type="dxa"/>
            <w:vAlign w:val="bottom"/>
          </w:tcPr>
          <w:p>
            <w:pPr>
              <w:spacing w:after="0"/>
              <w:rPr>
                <w:sz w:val="1"/>
                <w:szCs w:val="1"/>
                <w:color w:val="auto"/>
              </w:rPr>
            </w:pPr>
          </w:p>
        </w:tc>
      </w:tr>
      <w:tr>
        <w:trPr>
          <w:trHeight w:val="239"/>
        </w:trPr>
        <w:tc>
          <w:tcPr>
            <w:tcW w:w="4160" w:type="dxa"/>
            <w:vAlign w:val="bottom"/>
          </w:tcPr>
          <w:p>
            <w:pPr>
              <w:ind w:left="20"/>
              <w:spacing w:after="0"/>
              <w:rPr>
                <w:sz w:val="20"/>
                <w:szCs w:val="20"/>
                <w:color w:val="auto"/>
              </w:rPr>
            </w:pPr>
            <w:r>
              <w:rPr>
                <w:rFonts w:ascii="Arial" w:cs="Arial" w:eastAsia="Arial" w:hAnsi="Arial"/>
                <w:sz w:val="17"/>
                <w:szCs w:val="17"/>
                <w:color w:val="auto"/>
              </w:rPr>
              <w:t>Granted</w:t>
            </w:r>
          </w:p>
        </w:tc>
        <w:tc>
          <w:tcPr>
            <w:tcW w:w="1580" w:type="dxa"/>
            <w:vAlign w:val="bottom"/>
          </w:tcPr>
          <w:p>
            <w:pPr>
              <w:jc w:val="right"/>
              <w:spacing w:after="0"/>
              <w:rPr>
                <w:sz w:val="20"/>
                <w:szCs w:val="20"/>
                <w:color w:val="auto"/>
              </w:rPr>
            </w:pPr>
            <w:r>
              <w:rPr>
                <w:rFonts w:ascii="Arial" w:cs="Arial" w:eastAsia="Arial" w:hAnsi="Arial"/>
                <w:sz w:val="17"/>
                <w:szCs w:val="17"/>
                <w:color w:val="auto"/>
              </w:rPr>
              <w:t>2,725,160</w:t>
            </w:r>
          </w:p>
        </w:tc>
        <w:tc>
          <w:tcPr>
            <w:tcW w:w="1920" w:type="dxa"/>
            <w:vAlign w:val="bottom"/>
            <w:gridSpan w:val="2"/>
          </w:tcPr>
          <w:p>
            <w:pPr>
              <w:jc w:val="right"/>
              <w:ind w:right="10"/>
              <w:spacing w:after="0"/>
              <w:rPr>
                <w:sz w:val="20"/>
                <w:szCs w:val="20"/>
                <w:color w:val="auto"/>
              </w:rPr>
            </w:pPr>
            <w:r>
              <w:rPr>
                <w:rFonts w:ascii="Arial" w:cs="Arial" w:eastAsia="Arial" w:hAnsi="Arial"/>
                <w:sz w:val="17"/>
                <w:szCs w:val="17"/>
                <w:color w:val="auto"/>
              </w:rPr>
              <w:t>19.03</w:t>
            </w: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(599,191)</w:t>
            </w:r>
          </w:p>
        </w:tc>
        <w:tc>
          <w:tcPr>
            <w:tcW w:w="1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6.07</w:t>
            </w: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
              <w:spacing w:after="0"/>
              <w:rPr>
                <w:sz w:val="20"/>
                <w:szCs w:val="20"/>
                <w:color w:val="auto"/>
              </w:rPr>
            </w:pPr>
            <w:r>
              <w:rPr>
                <w:rFonts w:ascii="Arial" w:cs="Arial" w:eastAsia="Arial" w:hAnsi="Arial"/>
                <w:sz w:val="17"/>
                <w:szCs w:val="17"/>
                <w:color w:val="auto"/>
              </w:rPr>
              <w:t>Cancelled or forfeited</w:t>
            </w:r>
          </w:p>
        </w:tc>
        <w:tc>
          <w:tcPr>
            <w:tcW w:w="1580" w:type="dxa"/>
            <w:vAlign w:val="bottom"/>
          </w:tcPr>
          <w:p>
            <w:pPr>
              <w:jc w:val="right"/>
              <w:spacing w:after="0"/>
              <w:rPr>
                <w:sz w:val="20"/>
                <w:szCs w:val="20"/>
                <w:color w:val="auto"/>
              </w:rPr>
            </w:pPr>
            <w:r>
              <w:rPr>
                <w:rFonts w:ascii="Arial" w:cs="Arial" w:eastAsia="Arial" w:hAnsi="Arial"/>
                <w:sz w:val="17"/>
                <w:szCs w:val="17"/>
                <w:color w:val="auto"/>
              </w:rPr>
              <w:t>(58,505)</w:t>
            </w:r>
          </w:p>
        </w:tc>
        <w:tc>
          <w:tcPr>
            <w:tcW w:w="1920" w:type="dxa"/>
            <w:vAlign w:val="bottom"/>
            <w:gridSpan w:val="2"/>
          </w:tcPr>
          <w:p>
            <w:pPr>
              <w:jc w:val="right"/>
              <w:ind w:right="10"/>
              <w:spacing w:after="0"/>
              <w:rPr>
                <w:sz w:val="20"/>
                <w:szCs w:val="20"/>
                <w:color w:val="auto"/>
              </w:rPr>
            </w:pPr>
            <w:r>
              <w:rPr>
                <w:rFonts w:ascii="Arial" w:cs="Arial" w:eastAsia="Arial" w:hAnsi="Arial"/>
                <w:sz w:val="17"/>
                <w:szCs w:val="17"/>
                <w:color w:val="auto"/>
              </w:rPr>
              <w:t>10.97</w:t>
            </w: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1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5,767,799</w:t>
            </w:r>
          </w:p>
        </w:tc>
        <w:tc>
          <w:tcPr>
            <w:tcW w:w="1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$12.01</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8.3</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$168,007</w:t>
            </w:r>
          </w:p>
        </w:tc>
        <w:tc>
          <w:tcPr>
            <w:tcW w:w="0" w:type="dxa"/>
            <w:vAlign w:val="bottom"/>
          </w:tcPr>
          <w:p>
            <w:pPr>
              <w:spacing w:after="0"/>
              <w:rPr>
                <w:sz w:val="1"/>
                <w:szCs w:val="1"/>
                <w:color w:val="auto"/>
              </w:rPr>
            </w:pPr>
          </w:p>
        </w:tc>
      </w:tr>
      <w:tr>
        <w:trPr>
          <w:trHeight w:val="254"/>
        </w:trPr>
        <w:tc>
          <w:tcPr>
            <w:tcW w:w="4160" w:type="dxa"/>
            <w:vAlign w:val="bottom"/>
          </w:tcPr>
          <w:p>
            <w:pPr>
              <w:ind w:left="20"/>
              <w:spacing w:after="0"/>
              <w:rPr>
                <w:sz w:val="20"/>
                <w:szCs w:val="20"/>
                <w:color w:val="auto"/>
              </w:rPr>
            </w:pPr>
            <w:r>
              <w:rPr>
                <w:rFonts w:ascii="Arial" w:cs="Arial" w:eastAsia="Arial" w:hAnsi="Arial"/>
                <w:sz w:val="17"/>
                <w:szCs w:val="17"/>
                <w:color w:val="auto"/>
              </w:rPr>
              <w:t>Exercisable at December 31, 2025</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2,189,013</w:t>
            </w:r>
          </w:p>
        </w:tc>
        <w:tc>
          <w:tcPr>
            <w:tcW w:w="1920" w:type="dxa"/>
            <w:vAlign w:val="bottom"/>
            <w:gridSpan w:val="2"/>
          </w:tcPr>
          <w:p>
            <w:pPr>
              <w:jc w:val="right"/>
              <w:ind w:right="10"/>
              <w:spacing w:after="0"/>
              <w:rPr>
                <w:sz w:val="20"/>
                <w:szCs w:val="20"/>
                <w:color w:val="auto"/>
              </w:rPr>
            </w:pPr>
            <w:r>
              <w:rPr>
                <w:rFonts w:ascii="Arial" w:cs="Arial" w:eastAsia="Arial" w:hAnsi="Arial"/>
                <w:sz w:val="17"/>
                <w:szCs w:val="17"/>
                <w:color w:val="auto"/>
              </w:rPr>
              <w:t>$7.58</w:t>
            </w:r>
          </w:p>
        </w:tc>
        <w:tc>
          <w:tcPr>
            <w:tcW w:w="8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$73,457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80" w:firstLine="627"/>
        <w:spacing w:after="0" w:line="277"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estimated fair value of the Company’s common stock for those stock options that had exercise prices lower than the fair value of the Company’s common stock.</w:t>
      </w:r>
    </w:p>
    <w:p>
      <w:pPr>
        <w:spacing w:after="0" w:line="159" w:lineRule="exact"/>
        <w:rPr>
          <w:sz w:val="20"/>
          <w:szCs w:val="20"/>
          <w:color w:val="auto"/>
        </w:rPr>
      </w:pPr>
    </w:p>
    <w:p>
      <w:pPr>
        <w:jc w:val="both"/>
        <w:ind w:right="340" w:firstLine="627"/>
        <w:spacing w:after="0" w:line="277" w:lineRule="auto"/>
        <w:rPr>
          <w:sz w:val="20"/>
          <w:szCs w:val="20"/>
          <w:color w:val="auto"/>
        </w:rPr>
      </w:pPr>
      <w:r>
        <w:rPr>
          <w:rFonts w:ascii="Arial" w:cs="Arial" w:eastAsia="Arial" w:hAnsi="Arial"/>
          <w:sz w:val="17"/>
          <w:szCs w:val="17"/>
          <w:color w:val="auto"/>
        </w:rPr>
        <w:t>The weighted-average grant date fair value of options granted during the years ended December 31, 2025 and 2024, was $13.94 and $4.61, respectively. The total intrinsic value of options exercised in the years ended December 31, 2025 and 2024, was $14.7 million and $0.4 million,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8" w:lineRule="exact"/>
        <w:rPr>
          <w:sz w:val="20"/>
          <w:szCs w:val="20"/>
          <w:color w:val="auto"/>
        </w:rPr>
      </w:pPr>
    </w:p>
    <w:p>
      <w:pPr>
        <w:ind w:right="820" w:firstLine="627"/>
        <w:spacing w:after="0" w:line="298" w:lineRule="auto"/>
        <w:rPr>
          <w:sz w:val="20"/>
          <w:szCs w:val="20"/>
          <w:color w:val="auto"/>
        </w:rPr>
      </w:pPr>
      <w:r>
        <w:rPr>
          <w:rFonts w:ascii="Arial" w:cs="Arial" w:eastAsia="Arial" w:hAnsi="Arial"/>
          <w:sz w:val="17"/>
          <w:szCs w:val="17"/>
          <w:color w:val="auto"/>
        </w:rPr>
        <w:t>During the years ended December 31, 2025 and 2024, the Company recorded stock-based compensation in the accompanying consolidated statements of operations and comprehensive loss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Year Ended December 31,</w:t>
            </w:r>
          </w:p>
        </w:tc>
      </w:tr>
      <w:tr>
        <w:trPr>
          <w:trHeight w:val="215"/>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2024</w:t>
            </w: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General and administrative expense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7,950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2,208</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9"/>
        </w:trPr>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12,066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ind w:right="100" w:firstLine="627"/>
        <w:spacing w:after="0" w:line="277" w:lineRule="auto"/>
        <w:rPr>
          <w:sz w:val="20"/>
          <w:szCs w:val="20"/>
          <w:color w:val="auto"/>
        </w:rPr>
      </w:pPr>
      <w:r>
        <w:rPr>
          <w:rFonts w:ascii="Arial" w:cs="Arial" w:eastAsia="Arial" w:hAnsi="Arial"/>
          <w:sz w:val="17"/>
          <w:szCs w:val="17"/>
          <w:color w:val="auto"/>
        </w:rPr>
        <w:t>As of December 31, 2025, there was $35.3 million of unrecognized stock-based compensation expense for common stock option awards that are expected to be recognized over a weighted-average period of 2.6 years. The stock-based compensation expense for restricted common stock awards was de minimis and fully recognized as of June 30, 2025, when the final vesting conditions were met.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120" w:lineRule="exact"/>
        <w:rPr>
          <w:sz w:val="20"/>
          <w:szCs w:val="20"/>
          <w:color w:val="auto"/>
        </w:rPr>
      </w:pPr>
    </w:p>
    <w:p>
      <w:pPr>
        <w:jc w:val="both"/>
        <w:ind w:right="420"/>
        <w:spacing w:after="0" w:line="277" w:lineRule="auto"/>
        <w:rPr>
          <w:sz w:val="20"/>
          <w:szCs w:val="20"/>
          <w:color w:val="auto"/>
        </w:rPr>
      </w:pPr>
      <w:r>
        <w:rPr>
          <w:rFonts w:ascii="Arial" w:cs="Arial" w:eastAsia="Arial" w:hAnsi="Arial"/>
          <w:sz w:val="17"/>
          <w:szCs w:val="17"/>
          <w:color w:val="auto"/>
        </w:rPr>
        <w:t>The Company’s loss is attributable to domestic activity, and the Company does not have foreign operations. The Company had no current or deferred federal or state income tax expense due to operating losses incurred for the years ended December 31, 2025 and 2024, and the full valuation allowance recorded on net deferred tax assets.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20" w:firstLine="627"/>
        <w:spacing w:after="0" w:line="298" w:lineRule="auto"/>
        <w:rPr>
          <w:sz w:val="20"/>
          <w:szCs w:val="20"/>
          <w:color w:val="auto"/>
        </w:rPr>
      </w:pPr>
      <w:r>
        <w:rPr>
          <w:rFonts w:ascii="Arial" w:cs="Arial" w:eastAsia="Arial" w:hAnsi="Arial"/>
          <w:sz w:val="17"/>
          <w:szCs w:val="17"/>
          <w:color w:val="auto"/>
        </w:rPr>
        <w:t>A reconciliation of income tax expense (benefit) from continuing operations to the amount computed by applying the statutory federal income tax rate to the net loss from continuing operations is summarized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116840</wp:posOffset>
            </wp:positionV>
            <wp:extent cx="31750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7500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15"/>
        </w:trPr>
        <w:tc>
          <w:tcPr>
            <w:tcW w:w="6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2025</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bottom w:val="single" w:sz="8" w:color="auto"/>
            </w:tcBorders>
          </w:tcPr>
          <w:p>
            <w:pPr>
              <w:spacing w:after="0"/>
              <w:rPr>
                <w:sz w:val="18"/>
                <w:szCs w:val="18"/>
                <w:color w:val="auto"/>
              </w:rPr>
            </w:pPr>
          </w:p>
        </w:tc>
      </w:tr>
      <w:tr>
        <w:trPr>
          <w:trHeight w:val="241"/>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expense (benefit) at the U.S. statutory rate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(15,806)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(12,954)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w:t>
            </w:r>
          </w:p>
        </w:tc>
      </w:tr>
      <w:tr>
        <w:trPr>
          <w:trHeight w:val="261"/>
        </w:trPr>
        <w:tc>
          <w:tcPr>
            <w:tcW w:w="6040" w:type="dxa"/>
            <w:vAlign w:val="bottom"/>
          </w:tcPr>
          <w:p>
            <w:pPr>
              <w:ind w:left="20"/>
              <w:spacing w:after="0"/>
              <w:rPr>
                <w:sz w:val="20"/>
                <w:szCs w:val="20"/>
                <w:color w:val="auto"/>
              </w:rPr>
            </w:pPr>
            <w:r>
              <w:rPr>
                <w:rFonts w:ascii="Arial" w:cs="Arial" w:eastAsia="Arial" w:hAnsi="Arial"/>
                <w:sz w:val="17"/>
                <w:szCs w:val="17"/>
                <w:color w:val="auto"/>
              </w:rPr>
              <w:t>State income taxes, net of federal income tax effect</w:t>
            </w:r>
            <w:r>
              <w:rPr>
                <w:rFonts w:ascii="Arial" w:cs="Arial" w:eastAsia="Arial" w:hAnsi="Arial"/>
                <w:sz w:val="22"/>
                <w:szCs w:val="22"/>
                <w:color w:val="auto"/>
                <w:vertAlign w:val="superscript"/>
              </w:rPr>
              <w:t>(1)</w:t>
            </w:r>
          </w:p>
        </w:tc>
        <w:tc>
          <w:tcPr>
            <w:tcW w:w="300" w:type="dxa"/>
            <w:vAlign w:val="bottom"/>
          </w:tcPr>
          <w:p>
            <w:pPr>
              <w:spacing w:after="0"/>
              <w:rPr>
                <w:sz w:val="22"/>
                <w:szCs w:val="22"/>
                <w:color w:val="auto"/>
              </w:rPr>
            </w:pPr>
          </w:p>
        </w:tc>
        <w:tc>
          <w:tcPr>
            <w:tcW w:w="122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32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Effects of changes in tax laws or rates enacted in the current period</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6040" w:type="dxa"/>
            <w:vAlign w:val="bottom"/>
          </w:tcPr>
          <w:p>
            <w:pPr>
              <w:ind w:left="20"/>
              <w:spacing w:after="0"/>
              <w:rPr>
                <w:sz w:val="20"/>
                <w:szCs w:val="20"/>
                <w:color w:val="auto"/>
              </w:rPr>
            </w:pPr>
            <w:r>
              <w:rPr>
                <w:rFonts w:ascii="Arial" w:cs="Arial" w:eastAsia="Arial" w:hAnsi="Arial"/>
                <w:sz w:val="17"/>
                <w:szCs w:val="17"/>
                <w:color w:val="auto"/>
              </w:rPr>
              <w:t>Tax credits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
        </w:trPr>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1"/>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Research and development tax credits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(1,969)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(1,452)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39"/>
        </w:trPr>
        <w:tc>
          <w:tcPr>
            <w:tcW w:w="6040" w:type="dxa"/>
            <w:vAlign w:val="bottom"/>
          </w:tcPr>
          <w:p>
            <w:pPr>
              <w:ind w:left="20"/>
              <w:spacing w:after="0"/>
              <w:rPr>
                <w:sz w:val="20"/>
                <w:szCs w:val="20"/>
                <w:color w:val="auto"/>
              </w:rPr>
            </w:pPr>
            <w:r>
              <w:rPr>
                <w:rFonts w:ascii="Arial" w:cs="Arial" w:eastAsia="Arial" w:hAnsi="Arial"/>
                <w:sz w:val="17"/>
                <w:szCs w:val="17"/>
                <w:color w:val="auto"/>
              </w:rPr>
              <w:t>Nontaxable or nondeductible Items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
        </w:trPr>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1"/>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Stock-based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(1,371)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304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39"/>
        </w:trPr>
        <w:tc>
          <w:tcPr>
            <w:tcW w:w="6040" w:type="dxa"/>
            <w:vAlign w:val="bottom"/>
          </w:tcPr>
          <w:p>
            <w:pPr>
              <w:ind w:left="340"/>
              <w:spacing w:after="0"/>
              <w:rPr>
                <w:sz w:val="20"/>
                <w:szCs w:val="20"/>
                <w:color w:val="auto"/>
              </w:rPr>
            </w:pPr>
            <w:r>
              <w:rPr>
                <w:rFonts w:ascii="Arial" w:cs="Arial" w:eastAsia="Arial" w:hAnsi="Arial"/>
                <w:sz w:val="17"/>
                <w:szCs w:val="17"/>
                <w:color w:val="auto"/>
              </w:rPr>
              <w:t>Limitations on executive compensation</w:t>
            </w:r>
          </w:p>
        </w:tc>
        <w:tc>
          <w:tcPr>
            <w:tcW w:w="300" w:type="dxa"/>
            <w:vAlign w:val="bottom"/>
          </w:tcPr>
          <w:p>
            <w:pPr>
              <w:spacing w:after="0"/>
              <w:rPr>
                <w:sz w:val="20"/>
                <w:szCs w:val="20"/>
                <w:color w:val="auto"/>
              </w:rPr>
            </w:pPr>
          </w:p>
        </w:tc>
        <w:tc>
          <w:tcPr>
            <w:tcW w:w="1220" w:type="dxa"/>
            <w:vAlign w:val="bottom"/>
          </w:tcPr>
          <w:p>
            <w:pPr>
              <w:jc w:val="right"/>
              <w:ind w:right="375"/>
              <w:spacing w:after="0"/>
              <w:rPr>
                <w:sz w:val="20"/>
                <w:szCs w:val="20"/>
                <w:color w:val="auto"/>
              </w:rPr>
            </w:pPr>
            <w:r>
              <w:rPr>
                <w:rFonts w:ascii="Arial" w:cs="Arial" w:eastAsia="Arial" w:hAnsi="Arial"/>
                <w:sz w:val="17"/>
                <w:szCs w:val="17"/>
                <w:color w:val="auto"/>
              </w:rPr>
              <w:t>1,068</w:t>
            </w:r>
          </w:p>
        </w:tc>
        <w:tc>
          <w:tcPr>
            <w:tcW w:w="9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
        </w:trPr>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1"/>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permanent differences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(54)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6040" w:type="dxa"/>
            <w:vAlign w:val="bottom"/>
          </w:tcPr>
          <w:p>
            <w:pPr>
              <w:ind w:left="20"/>
              <w:spacing w:after="0"/>
              <w:rPr>
                <w:sz w:val="20"/>
                <w:szCs w:val="20"/>
                <w:color w:val="auto"/>
              </w:rPr>
            </w:pPr>
            <w:r>
              <w:rPr>
                <w:rFonts w:ascii="Arial" w:cs="Arial" w:eastAsia="Arial" w:hAnsi="Arial"/>
                <w:sz w:val="17"/>
                <w:szCs w:val="17"/>
                <w:color w:val="auto"/>
              </w:rPr>
              <w:t>Other adjustments</w:t>
            </w:r>
          </w:p>
        </w:tc>
        <w:tc>
          <w:tcPr>
            <w:tcW w:w="300" w:type="dxa"/>
            <w:vAlign w:val="bottom"/>
          </w:tcPr>
          <w:p>
            <w:pPr>
              <w:spacing w:after="0"/>
              <w:rPr>
                <w:sz w:val="20"/>
                <w:szCs w:val="20"/>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(43)</w:t>
            </w:r>
          </w:p>
        </w:tc>
        <w:tc>
          <w:tcPr>
            <w:tcW w:w="9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
        </w:trPr>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61"/>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valuation allowance</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18,175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14,077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w:t>
            </w:r>
          </w:p>
        </w:tc>
      </w:tr>
      <w:tr>
        <w:trPr>
          <w:trHeight w:val="254"/>
        </w:trPr>
        <w:tc>
          <w:tcPr>
            <w:tcW w:w="604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w:t>
            </w: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4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State taxes in Massachusetts make up the majority of the tax effect in this category.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the Company’s deferred tax assets and liabilities are comprised of the following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 Ended December 31,</w:t>
            </w:r>
          </w:p>
        </w:tc>
      </w:tr>
      <w:tr>
        <w:trPr>
          <w:trHeight w:val="215"/>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operating loss carryforward</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40,906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18,075</w:t>
            </w: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Tax credits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6,848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4,056</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assets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885</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Capitalized research costs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20,330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23,229</w:t>
            </w: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Accrued expenses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1,256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524</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4,098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4,362</w:t>
            </w: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Lease liability</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2,327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2,582</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temporary differences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32"/>
        </w:trPr>
        <w:tc>
          <w:tcPr>
            <w:tcW w:w="8140" w:type="dxa"/>
            <w:vAlign w:val="bottom"/>
          </w:tcPr>
          <w:p>
            <w:pPr>
              <w:ind w:left="20"/>
              <w:spacing w:after="0"/>
              <w:rPr>
                <w:sz w:val="20"/>
                <w:szCs w:val="20"/>
                <w:color w:val="auto"/>
              </w:rPr>
            </w:pPr>
            <w:r>
              <w:rPr>
                <w:rFonts w:ascii="Arial" w:cs="Arial" w:eastAsia="Arial" w:hAnsi="Arial"/>
                <w:sz w:val="17"/>
                <w:szCs w:val="17"/>
                <w:color w:val="auto"/>
              </w:rPr>
              <w:t>Total deferred tax assets</w:t>
            </w: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78,120</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53,770</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valuation allowance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(76,144)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(51,606)</w:t>
            </w:r>
          </w:p>
        </w:tc>
      </w:tr>
      <w:tr>
        <w:trPr>
          <w:trHeight w:val="254"/>
        </w:trPr>
        <w:tc>
          <w:tcPr>
            <w:tcW w:w="8140" w:type="dxa"/>
            <w:vAlign w:val="bottom"/>
          </w:tcPr>
          <w:p>
            <w:pPr>
              <w:ind w:left="20"/>
              <w:spacing w:after="0"/>
              <w:rPr>
                <w:sz w:val="20"/>
                <w:szCs w:val="20"/>
                <w:color w:val="auto"/>
              </w:rPr>
            </w:pPr>
            <w:r>
              <w:rPr>
                <w:rFonts w:ascii="Arial" w:cs="Arial" w:eastAsia="Arial" w:hAnsi="Arial"/>
                <w:sz w:val="17"/>
                <w:szCs w:val="17"/>
                <w:color w:val="auto"/>
              </w:rPr>
              <w:t>Net deferred tax asset</w:t>
            </w: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1,976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2,164</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Right of use assets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(2,083)</w:t>
            </w:r>
          </w:p>
        </w:tc>
      </w:tr>
      <w:tr>
        <w:trPr>
          <w:trHeight w:val="239"/>
        </w:trPr>
        <w:tc>
          <w:tcPr>
            <w:tcW w:w="8140" w:type="dxa"/>
            <w:vAlign w:val="bottom"/>
          </w:tcPr>
          <w:p>
            <w:pPr>
              <w:ind w:left="20"/>
              <w:spacing w:after="0"/>
              <w:rPr>
                <w:sz w:val="20"/>
                <w:szCs w:val="20"/>
                <w:color w:val="auto"/>
              </w:rPr>
            </w:pPr>
            <w:r>
              <w:rPr>
                <w:rFonts w:ascii="Arial" w:cs="Arial" w:eastAsia="Arial" w:hAnsi="Arial"/>
                <w:sz w:val="17"/>
                <w:szCs w:val="17"/>
                <w:color w:val="auto"/>
              </w:rPr>
              <w:t>Other deferred tax liabilities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deferred tax liabilities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3"/>
        </w:trPr>
        <w:tc>
          <w:tcPr>
            <w:tcW w:w="8140" w:type="dxa"/>
            <w:vAlign w:val="bottom"/>
          </w:tcPr>
          <w:p>
            <w:pPr>
              <w:ind w:left="20"/>
              <w:spacing w:after="0"/>
              <w:rPr>
                <w:sz w:val="20"/>
                <w:szCs w:val="20"/>
                <w:color w:val="auto"/>
              </w:rPr>
            </w:pPr>
            <w:r>
              <w:rPr>
                <w:rFonts w:ascii="Arial" w:cs="Arial" w:eastAsia="Arial" w:hAnsi="Arial"/>
                <w:sz w:val="17"/>
                <w:szCs w:val="17"/>
                <w:color w:val="auto"/>
              </w:rPr>
              <w:t>Net deferred tax asset (liability)</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20" w:firstLine="627"/>
        <w:spacing w:after="0" w:line="266" w:lineRule="auto"/>
        <w:rPr>
          <w:sz w:val="20"/>
          <w:szCs w:val="20"/>
          <w:color w:val="auto"/>
        </w:rPr>
      </w:pPr>
      <w:r>
        <w:rPr>
          <w:rFonts w:ascii="Arial" w:cs="Arial" w:eastAsia="Arial" w:hAnsi="Arial"/>
          <w:sz w:val="17"/>
          <w:szCs w:val="17"/>
          <w:color w:val="auto"/>
        </w:rPr>
        <w:t>As of December 31, 2025 and 2024, the Company had federal net operating loss carryforwards of approximately $148.0 million and $65.6 million, respectively, which may be available to offset future income tax liabilities. The 2017 Tax Cuts and Jobs Act (“TCJA”) will generally allow losses incurred after 2017 to be carried over indefinitely but will generally limit the net operating loss deduction to the lesser of the net operating loss carryover or 80% of a corporation’s taxable income (subject to Section 382 of the Internal Revenue Code of 1986, as amended (the “Internal Revenue Code”)). Also, there is no carry back for losses incurred after 2017. All net operating loss carryforwards were generated after 2017.</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80" w:firstLine="627"/>
        <w:spacing w:after="0" w:line="298" w:lineRule="auto"/>
        <w:rPr>
          <w:sz w:val="20"/>
          <w:szCs w:val="20"/>
          <w:color w:val="auto"/>
        </w:rPr>
      </w:pPr>
      <w:r>
        <w:rPr>
          <w:rFonts w:ascii="Arial" w:cs="Arial" w:eastAsia="Arial" w:hAnsi="Arial"/>
          <w:sz w:val="17"/>
          <w:szCs w:val="17"/>
          <w:color w:val="auto"/>
        </w:rPr>
        <w:t>In addition, the Company has state net operating loss carryforwards of $155.4 million and $68.2 million as of December 31, 2025 and 2024, respectively, which will expire at various dates through 2045.</w:t>
      </w:r>
    </w:p>
    <w:p>
      <w:pPr>
        <w:spacing w:after="0" w:line="141" w:lineRule="exact"/>
        <w:rPr>
          <w:sz w:val="20"/>
          <w:szCs w:val="20"/>
          <w:color w:val="auto"/>
        </w:rPr>
      </w:pPr>
    </w:p>
    <w:p>
      <w:pPr>
        <w:ind w:firstLine="627"/>
        <w:spacing w:after="0" w:line="298" w:lineRule="auto"/>
        <w:rPr>
          <w:sz w:val="20"/>
          <w:szCs w:val="20"/>
          <w:color w:val="auto"/>
        </w:rPr>
      </w:pPr>
      <w:r>
        <w:rPr>
          <w:rFonts w:ascii="Arial" w:cs="Arial" w:eastAsia="Arial" w:hAnsi="Arial"/>
          <w:sz w:val="17"/>
          <w:szCs w:val="17"/>
          <w:color w:val="auto"/>
        </w:rPr>
        <w:t>As of December 31, 2025 and 2024, the Company had federal research and development tax credit (“Federal R&amp;D Tax Credit”) carryforwards of $4.7 million and $2.7 million, respectively, available to reduce future tax liabilities, which will expire at various dates through 2045.</w:t>
      </w:r>
    </w:p>
    <w:p>
      <w:pPr>
        <w:spacing w:after="0" w:line="141" w:lineRule="exact"/>
        <w:rPr>
          <w:sz w:val="20"/>
          <w:szCs w:val="20"/>
          <w:color w:val="auto"/>
        </w:rPr>
      </w:pPr>
    </w:p>
    <w:p>
      <w:pPr>
        <w:jc w:val="both"/>
        <w:ind w:right="160" w:firstLine="627"/>
        <w:spacing w:after="0" w:line="298" w:lineRule="auto"/>
        <w:rPr>
          <w:sz w:val="20"/>
          <w:szCs w:val="20"/>
          <w:color w:val="auto"/>
        </w:rPr>
      </w:pPr>
      <w:r>
        <w:rPr>
          <w:rFonts w:ascii="Arial" w:cs="Arial" w:eastAsia="Arial" w:hAnsi="Arial"/>
          <w:sz w:val="17"/>
          <w:szCs w:val="17"/>
          <w:color w:val="auto"/>
        </w:rPr>
        <w:t>As of December 31, 2025 and 2024, the Company had state research and development credit (“State R&amp;D Tax Credit”) carryforwards of approximately $2.7 million and $1.7 million, respectively, available to reduce future tax liabilities, which will expire at various dates through 2040.</w:t>
      </w:r>
    </w:p>
    <w:p>
      <w:pPr>
        <w:spacing w:after="0" w:line="141" w:lineRule="exact"/>
        <w:rPr>
          <w:sz w:val="20"/>
          <w:szCs w:val="20"/>
          <w:color w:val="auto"/>
        </w:rPr>
      </w:pPr>
    </w:p>
    <w:p>
      <w:pPr>
        <w:ind w:right="40" w:firstLine="627"/>
        <w:spacing w:after="0" w:line="262" w:lineRule="auto"/>
        <w:rPr>
          <w:sz w:val="20"/>
          <w:szCs w:val="20"/>
          <w:color w:val="auto"/>
        </w:rPr>
      </w:pPr>
      <w:r>
        <w:rPr>
          <w:rFonts w:ascii="Arial" w:cs="Arial" w:eastAsia="Arial" w:hAnsi="Arial"/>
          <w:sz w:val="17"/>
          <w:szCs w:val="17"/>
          <w:color w:val="auto"/>
        </w:rPr>
        <w:t>The Company has evaluated the positive and negative evidence bearing upon its ability to realize its deferred tax assets, which are comprised primarily of net operating loss carryforwards, the capitalization of research and experimental expenditures, and tax credits. Management has considered the Company’s history of cumulative net losses in the United States, estimated future taxable income and prudent and feasible tax planning strategies and has concluded that it is more likely than not that the Company will not realize the benefits of its U.S. federal and state deferred tax assets. Accordingly, a full valuation allowance of $76.1 million and $51.6 million has been established against these net deferred tax assets as of December 31, 2025 and 2024, respectively. The Company reevaluates the positive and negative evidence at each reporting period. The Company’s valuation allowance increased during 2025 by approximately $24.5 million, primarily due to the increase in net operating loss and tax credit carryforwards.</w:t>
      </w:r>
    </w:p>
    <w:p>
      <w:pPr>
        <w:spacing w:after="0" w:line="173" w:lineRule="exact"/>
        <w:rPr>
          <w:sz w:val="20"/>
          <w:szCs w:val="20"/>
          <w:color w:val="auto"/>
        </w:rPr>
      </w:pPr>
    </w:p>
    <w:p>
      <w:pPr>
        <w:ind w:right="80" w:firstLine="627"/>
        <w:spacing w:after="0" w:line="261" w:lineRule="auto"/>
        <w:rPr>
          <w:sz w:val="20"/>
          <w:szCs w:val="20"/>
          <w:color w:val="auto"/>
        </w:rPr>
      </w:pPr>
      <w:r>
        <w:rPr>
          <w:rFonts w:ascii="Arial" w:cs="Arial" w:eastAsia="Arial" w:hAnsi="Arial"/>
          <w:sz w:val="17"/>
          <w:szCs w:val="17"/>
          <w:color w:val="auto"/>
        </w:rPr>
        <w:t>Under the provision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 in the ownership interest of significant shareholders over a three-year period in excess of 50%, as defined under Section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 may further affect the limitation in future years. The Company has not yet completed a change in control analysis, as defined under Section 382 and 383 of the Internal Revenue Code, through December 31, 2025, and the Company has not determined whether the future utilization of net operating loss carryforwards may be materially limited based on past financings. In addition, the Company may complete future financings that could result in a change in control in the future which may limit the amount of tax attributes available to offset future tax liabilities.</w:t>
      </w:r>
    </w:p>
    <w:p>
      <w:pPr>
        <w:spacing w:after="0" w:line="172" w:lineRule="exact"/>
        <w:rPr>
          <w:sz w:val="20"/>
          <w:szCs w:val="20"/>
          <w:color w:val="auto"/>
        </w:rPr>
      </w:pPr>
    </w:p>
    <w:p>
      <w:pPr>
        <w:ind w:right="160" w:firstLine="627"/>
        <w:spacing w:after="0" w:line="277" w:lineRule="auto"/>
        <w:rPr>
          <w:sz w:val="20"/>
          <w:szCs w:val="20"/>
          <w:color w:val="auto"/>
        </w:rPr>
      </w:pPr>
      <w:r>
        <w:rPr>
          <w:rFonts w:ascii="Arial" w:cs="Arial" w:eastAsia="Arial" w:hAnsi="Arial"/>
          <w:sz w:val="17"/>
          <w:szCs w:val="17"/>
          <w:color w:val="auto"/>
        </w:rPr>
        <w:t>The Company accounts for income taxes by evaluating a probability threshold that a tax position must meet before a financial statement benefit is recognized. The minimum threshold is a tax position that is more likely than not to be sustained upon examination by the applicable taxing authority, including resolution of any related appeals or litigation processes, based on the technical merits of the position.</w:t>
      </w:r>
    </w:p>
    <w:p>
      <w:pPr>
        <w:spacing w:after="0" w:line="159" w:lineRule="exact"/>
        <w:rPr>
          <w:sz w:val="20"/>
          <w:szCs w:val="20"/>
          <w:color w:val="auto"/>
        </w:rPr>
      </w:pPr>
    </w:p>
    <w:p>
      <w:pPr>
        <w:ind w:right="300" w:firstLine="627"/>
        <w:spacing w:after="0" w:line="277" w:lineRule="auto"/>
        <w:rPr>
          <w:sz w:val="20"/>
          <w:szCs w:val="20"/>
          <w:color w:val="auto"/>
        </w:rPr>
      </w:pPr>
      <w:r>
        <w:rPr>
          <w:rFonts w:ascii="Arial" w:cs="Arial" w:eastAsia="Arial" w:hAnsi="Arial"/>
          <w:sz w:val="17"/>
          <w:szCs w:val="17"/>
          <w:color w:val="auto"/>
        </w:rPr>
        <w:t>The Company did not have any unrecognized tax benefits as of December 31, 2025 or 2024, respectively. The Company recognizes interest and penalties related to uncertain tax positions in income tax expense. As of December 31, 2025 and 2024, the Company’s balance of interest and penalties was zero.</w:t>
      </w:r>
    </w:p>
    <w:p>
      <w:pPr>
        <w:spacing w:after="0" w:line="159" w:lineRule="exact"/>
        <w:rPr>
          <w:sz w:val="20"/>
          <w:szCs w:val="20"/>
          <w:color w:val="auto"/>
        </w:rPr>
      </w:pPr>
    </w:p>
    <w:p>
      <w:pPr>
        <w:ind w:right="80" w:firstLine="627"/>
        <w:spacing w:after="0" w:line="266"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a normal course of business, the Company is subject to examination by U.S. federal and states. The Company’s tax years are still open since inception. To the extent that the Company has tax attribute carryforwards, the tax year in which the attributes were generated may still be adjusted upon examination by the U.S. Internal Revenue Services or state tax authorities to the extent utilized in a future period. The Company is not currently under examination by any tax authorities.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Segment Information</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segment net loss, including significant expense categories (in thousands):</w:t>
      </w:r>
    </w:p>
    <w:p>
      <w:pPr>
        <w:spacing w:after="0" w:line="282" w:lineRule="exact"/>
        <w:rPr>
          <w:sz w:val="20"/>
          <w:szCs w:val="20"/>
          <w:color w:val="auto"/>
        </w:rPr>
      </w:pPr>
    </w:p>
    <w:tbl>
      <w:tblPr>
        <w:tblLayout w:type="fixed"/>
        <w:tblInd w:w="640" w:type="dxa"/>
        <w:tblCellMar>
          <w:top w:w="0" w:type="dxa"/>
          <w:left w:w="0" w:type="dxa"/>
          <w:bottom w:w="0" w:type="dxa"/>
          <w:right w:w="0" w:type="dxa"/>
        </w:tblCellMar>
      </w:tblPr>
      <w:tr>
        <w:trPr>
          <w:trHeight w:val="199"/>
        </w:trPr>
        <w:tc>
          <w:tcPr>
            <w:tcW w:w="7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Year Ended December 31,</w:t>
            </w:r>
          </w:p>
        </w:tc>
      </w:tr>
      <w:tr>
        <w:trPr>
          <w:trHeight w:val="215"/>
        </w:trPr>
        <w:tc>
          <w:tcPr>
            <w:tcW w:w="7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r>
      <w:tr>
        <w:trPr>
          <w:trHeight w:val="228"/>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Research and development expenses: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61"/>
        </w:trPr>
        <w:tc>
          <w:tcPr>
            <w:tcW w:w="7260" w:type="dxa"/>
            <w:vAlign w:val="bottom"/>
          </w:tcPr>
          <w:p>
            <w:pPr>
              <w:ind w:left="320"/>
              <w:spacing w:after="0"/>
              <w:rPr>
                <w:sz w:val="20"/>
                <w:szCs w:val="20"/>
                <w:color w:val="auto"/>
              </w:rPr>
            </w:pPr>
            <w:r>
              <w:rPr>
                <w:rFonts w:ascii="Arial" w:cs="Arial" w:eastAsia="Arial" w:hAnsi="Arial"/>
                <w:sz w:val="17"/>
                <w:szCs w:val="17"/>
                <w:color w:val="auto"/>
              </w:rPr>
              <w:t>External research and development expenses</w:t>
            </w:r>
            <w:r>
              <w:rPr>
                <w:rFonts w:ascii="Arial" w:cs="Arial" w:eastAsia="Arial" w:hAnsi="Arial"/>
                <w:sz w:val="22"/>
                <w:szCs w:val="22"/>
                <w:color w:val="auto"/>
                <w:vertAlign w:val="superscript"/>
              </w:rPr>
              <w:t>(1)</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43,535</w:t>
            </w:r>
          </w:p>
        </w:tc>
        <w:tc>
          <w:tcPr>
            <w:tcW w:w="10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31,873</w:t>
            </w:r>
          </w:p>
        </w:tc>
      </w:tr>
      <w:tr>
        <w:trPr>
          <w:trHeight w:val="261"/>
        </w:trPr>
        <w:tc>
          <w:tcPr>
            <w:tcW w:w="7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Fees paid to licensors</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5,525</w:t>
            </w:r>
          </w:p>
        </w:tc>
      </w:tr>
      <w:tr>
        <w:trPr>
          <w:trHeight w:val="239"/>
        </w:trPr>
        <w:tc>
          <w:tcPr>
            <w:tcW w:w="7260" w:type="dxa"/>
            <w:vAlign w:val="bottom"/>
          </w:tcPr>
          <w:p>
            <w:pPr>
              <w:ind w:left="320"/>
              <w:spacing w:after="0"/>
              <w:rPr>
                <w:sz w:val="20"/>
                <w:szCs w:val="20"/>
                <w:color w:val="auto"/>
              </w:rPr>
            </w:pPr>
            <w:r>
              <w:rPr>
                <w:rFonts w:ascii="Arial" w:cs="Arial" w:eastAsia="Arial" w:hAnsi="Arial"/>
                <w:sz w:val="17"/>
                <w:szCs w:val="17"/>
                <w:color w:val="auto"/>
              </w:rPr>
              <w:t>Personnel-related expenses, excluding stock-based compensation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10,553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7,628</w:t>
            </w:r>
          </w:p>
        </w:tc>
      </w:tr>
      <w:tr>
        <w:trPr>
          <w:trHeight w:val="22"/>
        </w:trPr>
        <w:tc>
          <w:tcPr>
            <w:tcW w:w="7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1"/>
        </w:trPr>
        <w:tc>
          <w:tcPr>
            <w:tcW w:w="7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Facility and information technology allocated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1,838</w:t>
            </w:r>
          </w:p>
        </w:tc>
      </w:tr>
      <w:tr>
        <w:trPr>
          <w:trHeight w:val="239"/>
        </w:trPr>
        <w:tc>
          <w:tcPr>
            <w:tcW w:w="72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
        </w:trPr>
        <w:tc>
          <w:tcPr>
            <w:tcW w:w="7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1"/>
        </w:trPr>
        <w:tc>
          <w:tcPr>
            <w:tcW w:w="7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Personnel-related expenses, excluding stock-based compensation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5,634</w:t>
            </w:r>
          </w:p>
        </w:tc>
      </w:tr>
      <w:tr>
        <w:trPr>
          <w:trHeight w:val="261"/>
        </w:trPr>
        <w:tc>
          <w:tcPr>
            <w:tcW w:w="7260" w:type="dxa"/>
            <w:vAlign w:val="bottom"/>
          </w:tcPr>
          <w:p>
            <w:pPr>
              <w:ind w:left="320"/>
              <w:spacing w:after="0"/>
              <w:rPr>
                <w:sz w:val="20"/>
                <w:szCs w:val="20"/>
                <w:color w:val="auto"/>
              </w:rPr>
            </w:pPr>
            <w:r>
              <w:rPr>
                <w:rFonts w:ascii="Arial" w:cs="Arial" w:eastAsia="Arial" w:hAnsi="Arial"/>
                <w:sz w:val="17"/>
                <w:szCs w:val="17"/>
                <w:color w:val="auto"/>
              </w:rPr>
              <w:t>General corporate and facility expenses</w:t>
            </w:r>
            <w:r>
              <w:rPr>
                <w:rFonts w:ascii="Arial" w:cs="Arial" w:eastAsia="Arial" w:hAnsi="Arial"/>
                <w:sz w:val="22"/>
                <w:szCs w:val="22"/>
                <w:color w:val="auto"/>
                <w:vertAlign w:val="superscript"/>
              </w:rPr>
              <w:t>(3)</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4,222</w:t>
            </w:r>
          </w:p>
        </w:tc>
      </w:tr>
      <w:tr>
        <w:trPr>
          <w:trHeight w:val="261"/>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Other segment items</w:t>
            </w:r>
            <w:r>
              <w:rPr>
                <w:rFonts w:ascii="Arial" w:cs="Arial" w:eastAsia="Arial" w:hAnsi="Arial"/>
                <w:sz w:val="22"/>
                <w:szCs w:val="22"/>
                <w:color w:val="auto"/>
                <w:vertAlign w:val="superscript"/>
              </w:rPr>
              <w:t>(4)</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4,968</w:t>
            </w:r>
          </w:p>
        </w:tc>
      </w:tr>
      <w:tr>
        <w:trPr>
          <w:trHeight w:val="254"/>
        </w:trPr>
        <w:tc>
          <w:tcPr>
            <w:tcW w:w="7260" w:type="dxa"/>
            <w:vAlign w:val="bottom"/>
          </w:tcPr>
          <w:p>
            <w:pPr>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75,268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61,688</w:t>
            </w:r>
          </w:p>
        </w:tc>
      </w:tr>
      <w:tr>
        <w:trPr>
          <w:trHeight w:val="20"/>
        </w:trPr>
        <w:tc>
          <w:tcPr>
            <w:tcW w:w="7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60" w:firstLine="627"/>
        <w:spacing w:after="0" w:line="236"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External research and development expenses consist primarily of costs paid to third-parties including CROs, CDMOs, consultants, advisors and lab-related vendors.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vertAlign w:val="superscript"/>
        </w:rPr>
        <w:t>(2)</w:t>
      </w:r>
      <w:r>
        <w:rPr>
          <w:rFonts w:ascii="Arial" w:cs="Arial" w:eastAsia="Arial" w:hAnsi="Arial"/>
          <w:sz w:val="17"/>
          <w:szCs w:val="17"/>
          <w:color w:val="auto"/>
        </w:rPr>
        <w:t>Fees paid to licensors consists primarily of upfront and annual licensing fees paid pursuant to the Company's license agreements.</w:t>
      </w:r>
    </w:p>
    <w:p>
      <w:pPr>
        <w:spacing w:after="0" w:line="165" w:lineRule="exact"/>
        <w:rPr>
          <w:sz w:val="20"/>
          <w:szCs w:val="20"/>
          <w:color w:val="auto"/>
        </w:rPr>
      </w:pPr>
    </w:p>
    <w:p>
      <w:pPr>
        <w:ind w:right="320" w:firstLine="627"/>
        <w:spacing w:after="0" w:line="236" w:lineRule="auto"/>
        <w:rPr>
          <w:sz w:val="20"/>
          <w:szCs w:val="20"/>
          <w:color w:val="auto"/>
        </w:rPr>
      </w:pPr>
      <w:r>
        <w:rPr>
          <w:rFonts w:ascii="Arial" w:cs="Arial" w:eastAsia="Arial" w:hAnsi="Arial"/>
          <w:sz w:val="22"/>
          <w:szCs w:val="22"/>
          <w:color w:val="auto"/>
          <w:vertAlign w:val="superscript"/>
        </w:rPr>
        <w:t>(3)</w:t>
      </w:r>
      <w:r>
        <w:rPr>
          <w:rFonts w:ascii="Arial" w:cs="Arial" w:eastAsia="Arial" w:hAnsi="Arial"/>
          <w:sz w:val="17"/>
          <w:szCs w:val="17"/>
          <w:color w:val="auto"/>
        </w:rPr>
        <w:t>General corporate and facility expenses consists primarily of professional services fees for legal, finance, human resources, medical affairs in addition to information technology expenses and rent expense, net of sublease income.</w:t>
      </w:r>
    </w:p>
    <w:p>
      <w:pPr>
        <w:spacing w:after="0" w:line="186" w:lineRule="exact"/>
        <w:rPr>
          <w:sz w:val="20"/>
          <w:szCs w:val="20"/>
          <w:color w:val="auto"/>
        </w:rPr>
      </w:pPr>
    </w:p>
    <w:p>
      <w:pPr>
        <w:ind w:right="620" w:firstLine="627"/>
        <w:spacing w:after="0" w:line="243" w:lineRule="auto"/>
        <w:rPr>
          <w:sz w:val="20"/>
          <w:szCs w:val="20"/>
          <w:color w:val="auto"/>
        </w:rPr>
      </w:pPr>
      <w:r>
        <w:rPr>
          <w:rFonts w:ascii="Arial" w:cs="Arial" w:eastAsia="Arial" w:hAnsi="Arial"/>
          <w:sz w:val="22"/>
          <w:szCs w:val="22"/>
          <w:color w:val="auto"/>
          <w:vertAlign w:val="superscript"/>
        </w:rPr>
        <w:t>(4)</w:t>
      </w:r>
      <w:r>
        <w:rPr>
          <w:rFonts w:ascii="Arial" w:cs="Arial" w:eastAsia="Arial" w:hAnsi="Arial"/>
          <w:sz w:val="17"/>
          <w:szCs w:val="17"/>
          <w:color w:val="auto"/>
        </w:rPr>
        <w:t>Other segment items consists primarily of interest income, partially offset by taxes and non-cash expenses, such as stock-based compensation, depreciation, the fair value of equity issued pursuant to the AbbVie License Agreement (Note 9) recognized in 2024, and amortization of discounts and premiums on marketable securities.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Net Loss Per Share</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excluded the following shares from the computation of diluted net loss per share attributable to common stockholders as of</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 and 2024, because including them would have had an anti-dilutive effect: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80" w:type="dxa"/>
            <w:vAlign w:val="bottom"/>
          </w:tcPr>
          <w:p>
            <w:pPr>
              <w:spacing w:after="0"/>
              <w:rPr>
                <w:sz w:val="17"/>
                <w:szCs w:val="17"/>
                <w:color w:val="auto"/>
              </w:rPr>
            </w:pPr>
          </w:p>
        </w:tc>
        <w:tc>
          <w:tcPr>
            <w:tcW w:w="30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Year Ended December 31,</w:t>
            </w:r>
          </w:p>
        </w:tc>
      </w:tr>
      <w:tr>
        <w:trPr>
          <w:trHeight w:val="215"/>
        </w:trPr>
        <w:tc>
          <w:tcPr>
            <w:tcW w:w="81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27,149,206</w:t>
            </w:r>
          </w:p>
        </w:tc>
      </w:tr>
      <w:tr>
        <w:trPr>
          <w:trHeight w:val="239"/>
        </w:trPr>
        <w:tc>
          <w:tcPr>
            <w:tcW w:w="8180" w:type="dxa"/>
            <w:vAlign w:val="bottom"/>
          </w:tcPr>
          <w:p>
            <w:pPr>
              <w:ind w:left="20"/>
              <w:spacing w:after="0"/>
              <w:rPr>
                <w:sz w:val="20"/>
                <w:szCs w:val="20"/>
                <w:color w:val="auto"/>
              </w:rPr>
            </w:pPr>
            <w:r>
              <w:rPr>
                <w:rFonts w:ascii="Arial" w:cs="Arial" w:eastAsia="Arial" w:hAnsi="Arial"/>
                <w:sz w:val="17"/>
                <w:szCs w:val="17"/>
                <w:color w:val="auto"/>
              </w:rPr>
              <w:t>Options to purchase common stock</w:t>
            </w:r>
          </w:p>
        </w:tc>
        <w:tc>
          <w:tcPr>
            <w:tcW w:w="1480" w:type="dxa"/>
            <w:vAlign w:val="bottom"/>
          </w:tcPr>
          <w:p>
            <w:pPr>
              <w:jc w:val="right"/>
              <w:spacing w:after="0"/>
              <w:rPr>
                <w:sz w:val="20"/>
                <w:szCs w:val="20"/>
                <w:color w:val="auto"/>
              </w:rPr>
            </w:pPr>
            <w:r>
              <w:rPr>
                <w:rFonts w:ascii="Arial" w:cs="Arial" w:eastAsia="Arial" w:hAnsi="Arial"/>
                <w:sz w:val="17"/>
                <w:szCs w:val="17"/>
                <w:color w:val="auto"/>
              </w:rPr>
              <w:t>5,767,799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3,700,335</w:t>
            </w:r>
          </w:p>
        </w:tc>
      </w:tr>
      <w:tr>
        <w:trPr>
          <w:trHeight w:val="22"/>
        </w:trPr>
        <w:tc>
          <w:tcPr>
            <w:tcW w:w="8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common stock</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75,958</w:t>
            </w:r>
          </w:p>
        </w:tc>
      </w:tr>
      <w:tr>
        <w:trPr>
          <w:trHeight w:val="254"/>
        </w:trPr>
        <w:tc>
          <w:tcPr>
            <w:tcW w:w="8180" w:type="dxa"/>
            <w:vAlign w:val="bottom"/>
          </w:tcPr>
          <w:p>
            <w:pPr>
              <w:ind w:left="420"/>
              <w:spacing w:after="0"/>
              <w:rPr>
                <w:sz w:val="20"/>
                <w:szCs w:val="20"/>
                <w:color w:val="auto"/>
              </w:rPr>
            </w:pPr>
            <w:r>
              <w:rPr>
                <w:rFonts w:ascii="Arial" w:cs="Arial" w:eastAsia="Arial" w:hAnsi="Arial"/>
                <w:sz w:val="17"/>
                <w:szCs w:val="17"/>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5,767,799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30,925,499</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Employee Benefit Plan</w:t>
      </w:r>
    </w:p>
    <w:p>
      <w:pPr>
        <w:spacing w:after="0" w:line="120" w:lineRule="exact"/>
        <w:rPr>
          <w:sz w:val="20"/>
          <w:szCs w:val="20"/>
          <w:color w:val="auto"/>
        </w:rPr>
      </w:pPr>
    </w:p>
    <w:p>
      <w:pPr>
        <w:ind w:right="160" w:firstLine="627"/>
        <w:spacing w:after="0" w:line="270"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This plan covers all employees and allows participants to defer a portion of their annual compensation on a pre-tax basis. Company contributions to the plan may be made at the discretion of the Board. For the year ended December 31, 2025 the Company contributed $0.2 million to the plan, no contributions were made for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4"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our Chief Financial Officer (our principal financial officer), evaluated the effectiveness of our disclosure controls and procedures as of the end of the period covered by this Annual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the end of the period covered by this Annual Report, our Chief Executive Officer and our Chief Financial Officer concluded that, as of such date, our disclosure controls and procedures were effective at the reasonable assurance level.</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Over Internal Controls</w:t>
      </w:r>
    </w:p>
    <w:p>
      <w:pPr>
        <w:spacing w:after="0" w:line="224"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the company.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2" w:lineRule="exact"/>
        <w:rPr>
          <w:sz w:val="20"/>
          <w:szCs w:val="20"/>
          <w:color w:val="auto"/>
        </w:rPr>
      </w:pPr>
    </w:p>
    <w:p>
      <w:pPr>
        <w:ind w:left="640" w:right="800" w:hanging="322"/>
        <w:spacing w:after="0" w:line="298" w:lineRule="auto"/>
        <w:tabs>
          <w:tab w:leader="none" w:pos="6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 company’s assets;</w:t>
      </w:r>
    </w:p>
    <w:p>
      <w:pPr>
        <w:spacing w:after="0" w:line="141" w:lineRule="exact"/>
        <w:rPr>
          <w:rFonts w:ascii="Arial" w:cs="Arial" w:eastAsia="Arial" w:hAnsi="Arial"/>
          <w:sz w:val="17"/>
          <w:szCs w:val="17"/>
          <w:color w:val="auto"/>
        </w:rPr>
      </w:pPr>
    </w:p>
    <w:p>
      <w:pPr>
        <w:ind w:left="640" w:right="220" w:hanging="322"/>
        <w:spacing w:after="0" w:line="277" w:lineRule="auto"/>
        <w:tabs>
          <w:tab w:leader="none" w:pos="6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a company’s management and directors; and</w:t>
      </w:r>
    </w:p>
    <w:p>
      <w:pPr>
        <w:spacing w:after="0" w:line="158" w:lineRule="exact"/>
        <w:rPr>
          <w:rFonts w:ascii="Arial" w:cs="Arial" w:eastAsia="Arial" w:hAnsi="Arial"/>
          <w:sz w:val="17"/>
          <w:szCs w:val="17"/>
          <w:color w:val="auto"/>
        </w:rPr>
      </w:pPr>
    </w:p>
    <w:p>
      <w:pPr>
        <w:ind w:left="640" w:right="400" w:hanging="322"/>
        <w:spacing w:after="0" w:line="298" w:lineRule="auto"/>
        <w:tabs>
          <w:tab w:leader="none" w:pos="6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 company’s assets that could have a material effect on the financial statements.</w:t>
      </w:r>
    </w:p>
    <w:p>
      <w:pPr>
        <w:spacing w:after="0" w:line="141" w:lineRule="exact"/>
        <w:rPr>
          <w:sz w:val="20"/>
          <w:szCs w:val="20"/>
          <w:color w:val="auto"/>
        </w:rPr>
      </w:pPr>
    </w:p>
    <w:p>
      <w:pPr>
        <w:ind w:right="20" w:firstLine="627"/>
        <w:spacing w:after="0" w:line="27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24" w:lineRule="exact"/>
        <w:rPr>
          <w:sz w:val="20"/>
          <w:szCs w:val="20"/>
          <w:color w:val="auto"/>
        </w:rPr>
      </w:pPr>
    </w:p>
    <w:p>
      <w:pPr>
        <w:ind w:right="100" w:firstLine="627"/>
        <w:spacing w:after="0" w:line="262"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Securities Exchange Act of 1934, as amended. Management, with the participation of our Chief Executive Officer and our Chief Financial Officer, conducted an evaluation of the effectiveness of the Company’s internal control over financial reporting as of December 31, 2025 based on the criteria established in Internal Control—</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xml:space="preserve"> issued by the Committee of Sponsoring Organizations of the Treadway Commission. Our internal control system was designed to provide reasonable assurance to our management and our Board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3" w:lineRule="exact"/>
        <w:rPr>
          <w:sz w:val="20"/>
          <w:szCs w:val="20"/>
          <w:color w:val="auto"/>
        </w:rPr>
      </w:pPr>
    </w:p>
    <w:p>
      <w:pPr>
        <w:ind w:right="720" w:firstLine="627"/>
        <w:spacing w:after="0" w:line="298" w:lineRule="auto"/>
        <w:rPr>
          <w:sz w:val="20"/>
          <w:szCs w:val="20"/>
          <w:color w:val="auto"/>
        </w:rPr>
      </w:pPr>
      <w:r>
        <w:rPr>
          <w:rFonts w:ascii="Arial" w:cs="Arial" w:eastAsia="Arial" w:hAnsi="Arial"/>
          <w:sz w:val="17"/>
          <w:szCs w:val="17"/>
          <w:color w:val="auto"/>
        </w:rPr>
        <w:t>Based on this evaluation, management concluded that the Company’s internal control over financial reporting was effective as of December 31, 2025.</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Report of the Registered Public Accounting Firm</w:t>
      </w:r>
    </w:p>
    <w:p>
      <w:pPr>
        <w:spacing w:after="0" w:line="224" w:lineRule="exact"/>
        <w:rPr>
          <w:sz w:val="20"/>
          <w:szCs w:val="20"/>
          <w:color w:val="auto"/>
        </w:rPr>
      </w:pPr>
    </w:p>
    <w:p>
      <w:pPr>
        <w:ind w:firstLine="627"/>
        <w:spacing w:after="0" w:line="270" w:lineRule="auto"/>
        <w:rPr>
          <w:sz w:val="20"/>
          <w:szCs w:val="20"/>
          <w:color w:val="auto"/>
        </w:rPr>
      </w:pPr>
      <w:r>
        <w:rPr>
          <w:rFonts w:ascii="Arial" w:cs="Arial" w:eastAsia="Arial" w:hAnsi="Arial"/>
          <w:sz w:val="17"/>
          <w:szCs w:val="17"/>
          <w:color w:val="auto"/>
        </w:rPr>
        <w:t>This Annual Report does not include an attestation report of the Company’s independent registered public accounting firm regarding internal control over financial reporting. Management’s assessment was not subject to attestation by the Company’s independent registered public accounting firm pursuant to the exemption provided to emerging growth companies under the Jumpstart Our Business Startups Act of 2012, as amended.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4" w:lineRule="exact"/>
        <w:rPr>
          <w:sz w:val="20"/>
          <w:szCs w:val="20"/>
          <w:color w:val="auto"/>
        </w:rPr>
      </w:pPr>
    </w:p>
    <w:p>
      <w:pPr>
        <w:ind w:right="40" w:firstLine="627"/>
        <w:spacing w:after="0" w:line="277"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year ended December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Trading Plans</w:t>
      </w:r>
    </w:p>
    <w:p>
      <w:pPr>
        <w:spacing w:after="0" w:line="224" w:lineRule="exact"/>
        <w:rPr>
          <w:sz w:val="20"/>
          <w:szCs w:val="20"/>
          <w:color w:val="auto"/>
        </w:rPr>
      </w:pPr>
    </w:p>
    <w:p>
      <w:pPr>
        <w:jc w:val="both"/>
        <w:ind w:right="200" w:firstLine="627"/>
        <w:spacing w:after="0" w:line="277" w:lineRule="auto"/>
        <w:rPr>
          <w:sz w:val="20"/>
          <w:szCs w:val="20"/>
          <w:color w:val="auto"/>
        </w:rPr>
      </w:pPr>
      <w:r>
        <w:rPr>
          <w:rFonts w:ascii="Arial" w:cs="Arial" w:eastAsia="Arial" w:hAnsi="Arial"/>
          <w:sz w:val="17"/>
          <w:szCs w:val="17"/>
          <w:color w:val="auto"/>
        </w:rPr>
        <w:t>During the quarter ended December 31,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arrangements" as defined in Item 408(c) of Regulation S-K.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PART III</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20" w:lineRule="exact"/>
        <w:rPr>
          <w:sz w:val="20"/>
          <w:szCs w:val="20"/>
          <w:color w:val="auto"/>
        </w:rPr>
      </w:pPr>
    </w:p>
    <w:p>
      <w:pPr>
        <w:ind w:right="220" w:firstLine="627"/>
        <w:spacing w:after="0" w:line="298" w:lineRule="auto"/>
        <w:rPr>
          <w:sz w:val="20"/>
          <w:szCs w:val="20"/>
          <w:color w:val="auto"/>
        </w:rPr>
      </w:pPr>
      <w:r>
        <w:rPr>
          <w:rFonts w:ascii="Arial" w:cs="Arial" w:eastAsia="Arial" w:hAnsi="Arial"/>
          <w:sz w:val="17"/>
          <w:szCs w:val="17"/>
          <w:color w:val="auto"/>
        </w:rPr>
        <w:t>The information required by this Item 10 will be included in our Definitive Proxy Statement to be filed with the SEC with respect to our 2026 Annual Meeting of Stockholders and is incorporated herein by reference.</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have been no material changes to the procedures by which security-holders may recommend nominees to our board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20" w:lineRule="exact"/>
        <w:rPr>
          <w:sz w:val="20"/>
          <w:szCs w:val="20"/>
          <w:color w:val="auto"/>
        </w:rPr>
      </w:pPr>
    </w:p>
    <w:p>
      <w:pPr>
        <w:ind w:right="220" w:firstLine="627"/>
        <w:spacing w:after="0" w:line="298" w:lineRule="auto"/>
        <w:rPr>
          <w:sz w:val="20"/>
          <w:szCs w:val="20"/>
          <w:color w:val="auto"/>
        </w:rPr>
      </w:pPr>
      <w:r>
        <w:rPr>
          <w:rFonts w:ascii="Arial" w:cs="Arial" w:eastAsia="Arial" w:hAnsi="Arial"/>
          <w:sz w:val="17"/>
          <w:szCs w:val="17"/>
          <w:color w:val="auto"/>
        </w:rPr>
        <w:t>The information required by this Item 11 will be included in our Definitive Proxy Statement to be filed with the SEC with respect to our 2026 Annual Meeting of Stockholders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 AND MANAGEMENT AND RELATED STOCKHOLDER MATTERS</w:t>
      </w:r>
    </w:p>
    <w:p>
      <w:pPr>
        <w:spacing w:after="0" w:line="224" w:lineRule="exact"/>
        <w:rPr>
          <w:sz w:val="20"/>
          <w:szCs w:val="20"/>
          <w:color w:val="auto"/>
        </w:rPr>
      </w:pPr>
    </w:p>
    <w:p>
      <w:pPr>
        <w:ind w:right="220" w:firstLine="627"/>
        <w:spacing w:after="0" w:line="298" w:lineRule="auto"/>
        <w:rPr>
          <w:sz w:val="20"/>
          <w:szCs w:val="20"/>
          <w:color w:val="auto"/>
        </w:rPr>
      </w:pPr>
      <w:r>
        <w:rPr>
          <w:rFonts w:ascii="Arial" w:cs="Arial" w:eastAsia="Arial" w:hAnsi="Arial"/>
          <w:sz w:val="17"/>
          <w:szCs w:val="17"/>
          <w:color w:val="auto"/>
        </w:rPr>
        <w:t>The information required by this Item 12 will be included in our Definitive Proxy Statement to be filed with the SEC with respect to our 2026 Annual Meeting of Stockholders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24" w:lineRule="exact"/>
        <w:rPr>
          <w:sz w:val="20"/>
          <w:szCs w:val="20"/>
          <w:color w:val="auto"/>
        </w:rPr>
      </w:pPr>
    </w:p>
    <w:p>
      <w:pPr>
        <w:ind w:right="220" w:firstLine="627"/>
        <w:spacing w:after="0" w:line="298" w:lineRule="auto"/>
        <w:rPr>
          <w:sz w:val="20"/>
          <w:szCs w:val="20"/>
          <w:color w:val="auto"/>
        </w:rPr>
      </w:pPr>
      <w:r>
        <w:rPr>
          <w:rFonts w:ascii="Arial" w:cs="Arial" w:eastAsia="Arial" w:hAnsi="Arial"/>
          <w:sz w:val="17"/>
          <w:szCs w:val="17"/>
          <w:color w:val="auto"/>
        </w:rPr>
        <w:t>The information required by this Item 13 will be included in our Definitive Proxy Statement to be filed with the SEC with respect to our 2026 Annual Meeting of Stockholders and is incorporated herein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independent public accounting firm is Deloitte &amp; Touche LLP, Boston, Massachusetts, PCAOB Auditor ID 34.</w:t>
      </w:r>
    </w:p>
    <w:p>
      <w:pPr>
        <w:spacing w:after="0" w:line="222" w:lineRule="exact"/>
        <w:rPr>
          <w:sz w:val="20"/>
          <w:szCs w:val="20"/>
          <w:color w:val="auto"/>
        </w:rPr>
      </w:pPr>
    </w:p>
    <w:p>
      <w:pPr>
        <w:ind w:right="220" w:firstLine="627"/>
        <w:spacing w:after="0" w:line="298" w:lineRule="auto"/>
        <w:rPr>
          <w:sz w:val="20"/>
          <w:szCs w:val="20"/>
          <w:color w:val="auto"/>
        </w:rPr>
      </w:pPr>
      <w:r>
        <w:rPr>
          <w:rFonts w:ascii="Arial" w:cs="Arial" w:eastAsia="Arial" w:hAnsi="Arial"/>
          <w:sz w:val="17"/>
          <w:szCs w:val="17"/>
          <w:color w:val="auto"/>
        </w:rPr>
        <w:t>The information required by this Item 14 will be included in our Definitive Proxy Statement to be filed with the SEC with respect to our 2026 Annual Meeting of Stockholders and is incorporated herein by reference.</w:t>
      </w: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1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7"/>
          <w:szCs w:val="17"/>
          <w:b w:val="1"/>
          <w:bCs w:val="1"/>
          <w:color w:val="auto"/>
        </w:rPr>
        <w:t>(a)</w:t>
        <w:tab/>
        <w:t>Financial Statements</w:t>
      </w:r>
    </w:p>
    <w:p>
      <w:pPr>
        <w:spacing w:after="0" w:line="120" w:lineRule="exact"/>
        <w:rPr>
          <w:sz w:val="20"/>
          <w:szCs w:val="20"/>
          <w:color w:val="auto"/>
        </w:rPr>
      </w:pPr>
    </w:p>
    <w:p>
      <w:pPr>
        <w:ind w:right="40" w:firstLine="627"/>
        <w:spacing w:after="0" w:line="298" w:lineRule="auto"/>
        <w:rPr>
          <w:sz w:val="20"/>
          <w:szCs w:val="20"/>
          <w:color w:val="auto"/>
        </w:rPr>
      </w:pPr>
      <w:r>
        <w:rPr>
          <w:rFonts w:ascii="Arial" w:cs="Arial" w:eastAsia="Arial" w:hAnsi="Arial"/>
          <w:sz w:val="17"/>
          <w:szCs w:val="17"/>
          <w:color w:val="auto"/>
        </w:rPr>
        <w:t>For a list of the consolidated financial statements included herein, see Index to the Consolidated Financial Statements on page F-1 of this Annual Report, which is incorporated into this Item by reference.</w:t>
      </w:r>
    </w:p>
    <w:p>
      <w:pPr>
        <w:spacing w:after="0" w:line="13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gridSpan w:val="2"/>
          </w:tcPr>
          <w:p>
            <w:pPr>
              <w:ind w:left="500"/>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9"/>
        </w:trPr>
        <w:tc>
          <w:tcPr>
            <w:tcW w:w="1540" w:type="dxa"/>
            <w:vAlign w:val="bottom"/>
            <w:gridSpan w:val="2"/>
          </w:tcPr>
          <w:p>
            <w:pPr>
              <w:ind w:left="46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60" w:type="dxa"/>
            <w:vAlign w:val="bottom"/>
            <w:gridSpan w:val="22"/>
          </w:tcPr>
          <w:p>
            <w:pPr>
              <w:ind w:left="520"/>
              <w:spacing w:after="0"/>
              <w:rPr>
                <w:sz w:val="20"/>
                <w:szCs w:val="20"/>
                <w:color w:val="auto"/>
              </w:rPr>
            </w:pPr>
            <w:r>
              <w:rPr>
                <w:rFonts w:ascii="Arial" w:cs="Arial" w:eastAsia="Arial" w:hAnsi="Arial"/>
                <w:sz w:val="14"/>
                <w:szCs w:val="14"/>
                <w:b w:val="1"/>
                <w:bCs w:val="1"/>
                <w:color w:val="auto"/>
              </w:rPr>
              <w:t>Description</w:t>
            </w:r>
          </w:p>
        </w:tc>
      </w:tr>
      <w:tr>
        <w:trPr>
          <w:trHeight w:val="235"/>
        </w:trPr>
        <w:tc>
          <w:tcPr>
            <w:tcW w:w="14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0"/>
                <w:szCs w:val="20"/>
                <w:color w:val="auto"/>
              </w:rPr>
            </w:pPr>
          </w:p>
        </w:tc>
        <w:tc>
          <w:tcPr>
            <w:tcW w:w="9680" w:type="dxa"/>
            <w:vAlign w:val="bottom"/>
            <w:tcBorders>
              <w:top w:val="single" w:sz="8" w:color="auto"/>
              <w:bottom w:val="single" w:sz="8" w:color="0000FF"/>
            </w:tcBorders>
            <w:gridSpan w:val="25"/>
          </w:tcPr>
          <w:p>
            <w:pPr>
              <w:spacing w:after="0"/>
              <w:rPr>
                <w:rFonts w:ascii="Arial" w:cs="Arial" w:eastAsia="Arial" w:hAnsi="Arial"/>
                <w:sz w:val="17"/>
                <w:szCs w:val="17"/>
                <w:color w:val="0000FF"/>
              </w:rPr>
            </w:pPr>
            <w:hyperlink r:id="rId204">
              <w:r>
                <w:rPr>
                  <w:rFonts w:ascii="Arial" w:cs="Arial" w:eastAsia="Arial" w:hAnsi="Arial"/>
                  <w:sz w:val="17"/>
                  <w:szCs w:val="17"/>
                  <w:color w:val="0000FF"/>
                </w:rPr>
                <w:t>Fifth Amended and Restated Certificate of Incorporation of Sionna Therapeutics, Inc. (Incorporated by reference to Exhibit 3.1</w:t>
              </w:r>
            </w:hyperlink>
          </w:p>
        </w:tc>
        <w:tc>
          <w:tcPr>
            <w:tcW w:w="20" w:type="dxa"/>
            <w:vAlign w:val="bottom"/>
            <w:tcBorders>
              <w:top w:val="single" w:sz="8" w:color="auto"/>
            </w:tcBorders>
          </w:tcPr>
          <w:p>
            <w:pPr>
              <w:spacing w:after="0"/>
              <w:rPr>
                <w:sz w:val="20"/>
                <w:szCs w:val="20"/>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60" w:type="dxa"/>
            <w:vAlign w:val="bottom"/>
            <w:tcBorders>
              <w:bottom w:val="single" w:sz="8" w:color="0000FF"/>
            </w:tcBorders>
            <w:gridSpan w:val="11"/>
          </w:tcPr>
          <w:p>
            <w:pPr>
              <w:spacing w:after="0" w:line="189" w:lineRule="exact"/>
              <w:rPr>
                <w:rFonts w:ascii="Arial" w:cs="Arial" w:eastAsia="Arial" w:hAnsi="Arial"/>
                <w:sz w:val="17"/>
                <w:szCs w:val="17"/>
                <w:color w:val="0000FF"/>
              </w:rPr>
            </w:pPr>
            <w:hyperlink r:id="rId204">
              <w:r>
                <w:rPr>
                  <w:rFonts w:ascii="Arial" w:cs="Arial" w:eastAsia="Arial" w:hAnsi="Arial"/>
                  <w:sz w:val="17"/>
                  <w:szCs w:val="17"/>
                  <w:color w:val="0000FF"/>
                </w:rPr>
                <w:t>of the Registrant’s Current Report on Form 8-K (File No. 001-42504) filed on February 10, 2025).</w:t>
              </w:r>
            </w:hyperlink>
          </w:p>
        </w:tc>
        <w:tc>
          <w:tcPr>
            <w:tcW w:w="2240" w:type="dxa"/>
            <w:vAlign w:val="bottom"/>
            <w:gridSpan w:val="15"/>
          </w:tcPr>
          <w:p>
            <w:pPr>
              <w:spacing w:after="0"/>
              <w:rPr>
                <w:sz w:val="16"/>
                <w:szCs w:val="16"/>
                <w:color w:val="auto"/>
              </w:rPr>
            </w:pPr>
          </w:p>
        </w:tc>
      </w:tr>
      <w:tr>
        <w:trPr>
          <w:trHeight w:val="280"/>
        </w:trPr>
        <w:tc>
          <w:tcPr>
            <w:tcW w:w="1440" w:type="dxa"/>
            <w:vAlign w:val="bottom"/>
          </w:tcPr>
          <w:p>
            <w:pPr>
              <w:ind w:left="2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7"/>
                <w:szCs w:val="17"/>
                <w:color w:val="0000FF"/>
              </w:rPr>
            </w:pPr>
            <w:hyperlink r:id="rId205">
              <w:r>
                <w:rPr>
                  <w:rFonts w:ascii="Arial" w:cs="Arial" w:eastAsia="Arial" w:hAnsi="Arial"/>
                  <w:sz w:val="17"/>
                  <w:szCs w:val="17"/>
                  <w:color w:val="0000FF"/>
                </w:rPr>
                <w:t>Amended and Restated Bylaws of Sionna Therapeutics, Inc. (Incorporated by reference to Exhibit 3.2 of the Registrant’s</w:t>
              </w:r>
            </w:hyperlink>
          </w:p>
        </w:tc>
      </w:tr>
      <w:tr>
        <w:trPr>
          <w:trHeight w:val="150"/>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60" w:type="dxa"/>
            <w:vAlign w:val="bottom"/>
            <w:tcBorders>
              <w:top w:val="single" w:sz="8" w:color="0000FF"/>
            </w:tcBorders>
            <w:gridSpan w:val="15"/>
          </w:tcPr>
          <w:p>
            <w:pPr>
              <w:spacing w:after="0" w:line="150" w:lineRule="exact"/>
              <w:rPr>
                <w:rFonts w:ascii="Arial" w:cs="Arial" w:eastAsia="Arial" w:hAnsi="Arial"/>
                <w:sz w:val="17"/>
                <w:szCs w:val="17"/>
                <w:color w:val="0000FF"/>
              </w:rPr>
            </w:pPr>
            <w:hyperlink r:id="rId205">
              <w:r>
                <w:rPr>
                  <w:rFonts w:ascii="Arial" w:cs="Arial" w:eastAsia="Arial" w:hAnsi="Arial"/>
                  <w:sz w:val="17"/>
                  <w:szCs w:val="17"/>
                  <w:color w:val="0000FF"/>
                </w:rPr>
                <w:t>Current Report on Form 8-K (File No. 001-42504) filed on February 10, 2025).</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0"/>
        </w:trPr>
        <w:tc>
          <w:tcPr>
            <w:tcW w:w="144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4"/>
                <w:szCs w:val="24"/>
                <w:color w:val="auto"/>
              </w:rPr>
            </w:pPr>
          </w:p>
        </w:tc>
        <w:tc>
          <w:tcPr>
            <w:tcW w:w="9520" w:type="dxa"/>
            <w:vAlign w:val="bottom"/>
            <w:tcBorders>
              <w:bottom w:val="single" w:sz="8" w:color="0000FF"/>
            </w:tcBorders>
            <w:gridSpan w:val="20"/>
          </w:tcPr>
          <w:p>
            <w:pPr>
              <w:spacing w:after="0"/>
              <w:rPr>
                <w:rFonts w:ascii="Arial" w:cs="Arial" w:eastAsia="Arial" w:hAnsi="Arial"/>
                <w:sz w:val="17"/>
                <w:szCs w:val="17"/>
                <w:color w:val="0000FF"/>
              </w:rPr>
            </w:pPr>
            <w:hyperlink r:id="rId206">
              <w:r>
                <w:rPr>
                  <w:rFonts w:ascii="Arial" w:cs="Arial" w:eastAsia="Arial" w:hAnsi="Arial"/>
                  <w:sz w:val="17"/>
                  <w:szCs w:val="17"/>
                  <w:color w:val="0000FF"/>
                </w:rPr>
                <w:t>Specimen Common Stock Certificate (Incorporated by reference to Exhibit 4.1 of the Registrant’s Registration Statement on</w:t>
              </w:r>
            </w:hyperlink>
          </w:p>
        </w:tc>
        <w:tc>
          <w:tcPr>
            <w:tcW w:w="180" w:type="dxa"/>
            <w:vAlign w:val="bottom"/>
            <w:gridSpan w:val="6"/>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6"/>
          </w:tcPr>
          <w:p>
            <w:pPr>
              <w:spacing w:after="0" w:line="189" w:lineRule="exact"/>
              <w:rPr>
                <w:rFonts w:ascii="Arial" w:cs="Arial" w:eastAsia="Arial" w:hAnsi="Arial"/>
                <w:sz w:val="17"/>
                <w:szCs w:val="17"/>
                <w:color w:val="0000FF"/>
              </w:rPr>
            </w:pPr>
            <w:hyperlink r:id="rId206">
              <w:r>
                <w:rPr>
                  <w:rFonts w:ascii="Arial" w:cs="Arial" w:eastAsia="Arial" w:hAnsi="Arial"/>
                  <w:sz w:val="17"/>
                  <w:szCs w:val="17"/>
                  <w:color w:val="0000FF"/>
                </w:rPr>
                <w:t>Form S-1/A (File No. 333-284352) filed on February 3, 2025).</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4"/>
                <w:szCs w:val="24"/>
                <w:color w:val="auto"/>
              </w:rPr>
            </w:pPr>
          </w:p>
        </w:tc>
        <w:tc>
          <w:tcPr>
            <w:tcW w:w="9380" w:type="dxa"/>
            <w:vAlign w:val="bottom"/>
            <w:tcBorders>
              <w:bottom w:val="single" w:sz="8" w:color="0000FF"/>
            </w:tcBorders>
            <w:gridSpan w:val="16"/>
          </w:tcPr>
          <w:p>
            <w:pPr>
              <w:spacing w:after="0"/>
              <w:rPr>
                <w:rFonts w:ascii="Arial" w:cs="Arial" w:eastAsia="Arial" w:hAnsi="Arial"/>
                <w:sz w:val="17"/>
                <w:szCs w:val="17"/>
                <w:color w:val="0000FF"/>
              </w:rPr>
            </w:pPr>
            <w:hyperlink r:id="rId207">
              <w:r>
                <w:rPr>
                  <w:rFonts w:ascii="Arial" w:cs="Arial" w:eastAsia="Arial" w:hAnsi="Arial"/>
                  <w:sz w:val="17"/>
                  <w:szCs w:val="17"/>
                  <w:color w:val="0000FF"/>
                </w:rPr>
                <w:t>Third Amended and Restated Investors’ Rights Agreement, by and between the Registrant and certain of its stockholders,</w:t>
              </w:r>
            </w:hyperlink>
          </w:p>
        </w:tc>
        <w:tc>
          <w:tcPr>
            <w:tcW w:w="320" w:type="dxa"/>
            <w:vAlign w:val="bottom"/>
            <w:gridSpan w:val="10"/>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6"/>
          </w:tcPr>
          <w:p>
            <w:pPr>
              <w:spacing w:after="0" w:line="189" w:lineRule="exact"/>
              <w:rPr>
                <w:rFonts w:ascii="Arial" w:cs="Arial" w:eastAsia="Arial" w:hAnsi="Arial"/>
                <w:sz w:val="17"/>
                <w:szCs w:val="17"/>
                <w:color w:val="0000FF"/>
              </w:rPr>
            </w:pPr>
            <w:hyperlink r:id="rId207">
              <w:r>
                <w:rPr>
                  <w:rFonts w:ascii="Arial" w:cs="Arial" w:eastAsia="Arial" w:hAnsi="Arial"/>
                  <w:sz w:val="17"/>
                  <w:szCs w:val="17"/>
                  <w:color w:val="0000FF"/>
                </w:rPr>
                <w:t>dated as of March 4, 2024 (Incorporated by reference to Exhibit 4.2 of the Registrant’s Registration Statement on Form S-1/A</w:t>
              </w:r>
            </w:hyperlink>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tcBorders>
              <w:top w:val="single" w:sz="8" w:color="0000FF"/>
              <w:bottom w:val="single" w:sz="8" w:color="0000FF"/>
            </w:tcBorders>
            <w:gridSpan w:val="3"/>
          </w:tcPr>
          <w:p>
            <w:pPr>
              <w:spacing w:after="0" w:line="189" w:lineRule="exact"/>
              <w:rPr>
                <w:rFonts w:ascii="Arial" w:cs="Arial" w:eastAsia="Arial" w:hAnsi="Arial"/>
                <w:sz w:val="17"/>
                <w:szCs w:val="17"/>
                <w:color w:val="0000FF"/>
              </w:rPr>
            </w:pPr>
            <w:hyperlink r:id="rId207">
              <w:r>
                <w:rPr>
                  <w:rFonts w:ascii="Arial" w:cs="Arial" w:eastAsia="Arial" w:hAnsi="Arial"/>
                  <w:sz w:val="17"/>
                  <w:szCs w:val="17"/>
                  <w:color w:val="0000FF"/>
                </w:rPr>
                <w:t>(File No. 333-284352) filed on February 3, 2025).</w:t>
              </w:r>
            </w:hyperlink>
          </w:p>
        </w:tc>
        <w:tc>
          <w:tcPr>
            <w:tcW w:w="5820" w:type="dxa"/>
            <w:vAlign w:val="bottom"/>
            <w:tcBorders>
              <w:top w:val="single" w:sz="8" w:color="0000FF"/>
            </w:tcBorders>
            <w:gridSpan w:val="20"/>
          </w:tcPr>
          <w:p>
            <w:pPr>
              <w:spacing w:after="0"/>
              <w:rPr>
                <w:sz w:val="16"/>
                <w:szCs w:val="16"/>
                <w:color w:val="auto"/>
              </w:rPr>
            </w:pPr>
          </w:p>
        </w:tc>
        <w:tc>
          <w:tcPr>
            <w:tcW w:w="80" w:type="dxa"/>
            <w:vAlign w:val="bottom"/>
            <w:gridSpan w:val="3"/>
          </w:tcPr>
          <w:p>
            <w:pPr>
              <w:spacing w:after="0"/>
              <w:rPr>
                <w:sz w:val="16"/>
                <w:szCs w:val="16"/>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7"/>
                <w:szCs w:val="17"/>
                <w:color w:val="0000FF"/>
              </w:rPr>
            </w:pPr>
            <w:hyperlink r:id="rId208">
              <w:r>
                <w:rPr>
                  <w:rFonts w:ascii="Arial" w:cs="Arial" w:eastAsia="Arial" w:hAnsi="Arial"/>
                  <w:sz w:val="17"/>
                  <w:szCs w:val="17"/>
                  <w:color w:val="0000FF"/>
                </w:rPr>
                <w:t>Description of Securities of the Registrant (Incorporated by reference to Exhibit 4.3 of the Registrant's Annual Report on Form</w:t>
              </w:r>
            </w:hyperlink>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60" w:type="dxa"/>
            <w:vAlign w:val="bottom"/>
            <w:tcBorders>
              <w:top w:val="single" w:sz="8" w:color="0000FF"/>
            </w:tcBorders>
            <w:gridSpan w:val="24"/>
          </w:tcPr>
          <w:p>
            <w:pPr>
              <w:spacing w:after="0" w:line="189" w:lineRule="exact"/>
              <w:rPr>
                <w:rFonts w:ascii="Arial" w:cs="Arial" w:eastAsia="Arial" w:hAnsi="Arial"/>
                <w:sz w:val="17"/>
                <w:szCs w:val="17"/>
                <w:color w:val="0000FF"/>
              </w:rPr>
            </w:pPr>
            <w:hyperlink r:id="rId208">
              <w:r>
                <w:rPr>
                  <w:rFonts w:ascii="Arial" w:cs="Arial" w:eastAsia="Arial" w:hAnsi="Arial"/>
                  <w:sz w:val="17"/>
                  <w:szCs w:val="17"/>
                  <w:color w:val="0000FF"/>
                </w:rPr>
                <w:t>10-K (File No. 001-42504) filed on March 20, 2025)</w:t>
              </w:r>
              <w:r>
                <w:rPr>
                  <w:rFonts w:ascii="Arial" w:cs="Arial" w:eastAsia="Arial" w:hAnsi="Arial"/>
                  <w:sz w:val="17"/>
                  <w:szCs w:val="17"/>
                  <w:u w:val="single" w:color="auto"/>
                  <w:color w:val="0000FF"/>
                </w:rPr>
                <w:t>.</w:t>
              </w:r>
            </w:hyperlink>
          </w:p>
        </w:tc>
        <w:tc>
          <w:tcPr>
            <w:tcW w:w="40" w:type="dxa"/>
            <w:vAlign w:val="bottom"/>
            <w:gridSpan w:val="2"/>
          </w:tcPr>
          <w:p>
            <w:pPr>
              <w:spacing w:after="0"/>
              <w:rPr>
                <w:sz w:val="16"/>
                <w:szCs w:val="16"/>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4"/>
                <w:szCs w:val="24"/>
                <w:color w:val="auto"/>
              </w:rPr>
            </w:pPr>
          </w:p>
        </w:tc>
        <w:tc>
          <w:tcPr>
            <w:tcW w:w="9420" w:type="dxa"/>
            <w:vAlign w:val="bottom"/>
            <w:tcBorders>
              <w:bottom w:val="single" w:sz="8" w:color="0000FF"/>
            </w:tcBorders>
            <w:gridSpan w:val="18"/>
          </w:tcPr>
          <w:p>
            <w:pPr>
              <w:spacing w:after="0"/>
              <w:rPr>
                <w:rFonts w:ascii="Arial" w:cs="Arial" w:eastAsia="Arial" w:hAnsi="Arial"/>
                <w:sz w:val="17"/>
                <w:szCs w:val="17"/>
                <w:color w:val="0000FF"/>
              </w:rPr>
            </w:pPr>
            <w:hyperlink r:id="rId209">
              <w:r>
                <w:rPr>
                  <w:rFonts w:ascii="Arial" w:cs="Arial" w:eastAsia="Arial" w:hAnsi="Arial"/>
                  <w:sz w:val="17"/>
                  <w:szCs w:val="17"/>
                  <w:color w:val="0000FF"/>
                </w:rPr>
                <w:t>2020 Stock Option and Grant Plan and form of award agreements thereunder (Incorporated by reference to Exhibit 10.1 of</w:t>
              </w:r>
            </w:hyperlink>
          </w:p>
        </w:tc>
        <w:tc>
          <w:tcPr>
            <w:tcW w:w="280" w:type="dxa"/>
            <w:vAlign w:val="bottom"/>
            <w:gridSpan w:val="8"/>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6"/>
          </w:tcPr>
          <w:p>
            <w:pPr>
              <w:spacing w:after="0" w:line="189" w:lineRule="exact"/>
              <w:rPr>
                <w:rFonts w:ascii="Arial" w:cs="Arial" w:eastAsia="Arial" w:hAnsi="Arial"/>
                <w:sz w:val="17"/>
                <w:szCs w:val="17"/>
                <w:color w:val="0000FF"/>
              </w:rPr>
            </w:pPr>
            <w:hyperlink r:id="rId209">
              <w:r>
                <w:rPr>
                  <w:rFonts w:ascii="Arial" w:cs="Arial" w:eastAsia="Arial" w:hAnsi="Arial"/>
                  <w:sz w:val="17"/>
                  <w:szCs w:val="17"/>
                  <w:color w:val="0000FF"/>
                </w:rPr>
                <w:t>the Registrant’s Registration Statement on Form S-1/A (File No. 333-284352) filed on February 3, 2025).</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7"/>
                <w:szCs w:val="17"/>
                <w:color w:val="0000FF"/>
              </w:rPr>
            </w:pPr>
            <w:hyperlink r:id="rId210">
              <w:r>
                <w:rPr>
                  <w:rFonts w:ascii="Arial" w:cs="Arial" w:eastAsia="Arial" w:hAnsi="Arial"/>
                  <w:sz w:val="17"/>
                  <w:szCs w:val="17"/>
                  <w:color w:val="0000FF"/>
                </w:rPr>
                <w:t>Sionna Therapeutics, Inc. 2025 Stock Option and Incentive Plan and form of award agreements thereunder (Incorporated by</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6"/>
          </w:tcPr>
          <w:p>
            <w:pPr>
              <w:spacing w:after="0" w:line="189" w:lineRule="exact"/>
              <w:rPr>
                <w:rFonts w:ascii="Arial" w:cs="Arial" w:eastAsia="Arial" w:hAnsi="Arial"/>
                <w:sz w:val="17"/>
                <w:szCs w:val="17"/>
                <w:color w:val="0000FF"/>
              </w:rPr>
            </w:pPr>
            <w:hyperlink r:id="rId210">
              <w:r>
                <w:rPr>
                  <w:rFonts w:ascii="Arial" w:cs="Arial" w:eastAsia="Arial" w:hAnsi="Arial"/>
                  <w:sz w:val="17"/>
                  <w:szCs w:val="17"/>
                  <w:color w:val="0000FF"/>
                </w:rPr>
                <w:t>reference to Exhibit 10.2 of the Registrant’s Registration Statement on Form S-1/A (File No. 333-284352) filed on February 3,</w:t>
              </w:r>
            </w:hyperlink>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0000FF"/>
              <w:bottom w:val="single" w:sz="8" w:color="0000FF"/>
            </w:tcBorders>
          </w:tcPr>
          <w:p>
            <w:pPr>
              <w:spacing w:after="0" w:line="189" w:lineRule="exact"/>
              <w:rPr>
                <w:rFonts w:ascii="Arial" w:cs="Arial" w:eastAsia="Arial" w:hAnsi="Arial"/>
                <w:sz w:val="17"/>
                <w:szCs w:val="17"/>
                <w:color w:val="0000FF"/>
                <w:w w:val="99"/>
              </w:rPr>
            </w:pPr>
            <w:hyperlink r:id="rId210">
              <w:r>
                <w:rPr>
                  <w:rFonts w:ascii="Arial" w:cs="Arial" w:eastAsia="Arial" w:hAnsi="Arial"/>
                  <w:sz w:val="17"/>
                  <w:szCs w:val="17"/>
                  <w:color w:val="0000FF"/>
                  <w:w w:val="99"/>
                </w:rPr>
                <w:t>2025).</w:t>
              </w:r>
            </w:hyperlink>
          </w:p>
        </w:tc>
        <w:tc>
          <w:tcPr>
            <w:tcW w:w="1540" w:type="dxa"/>
            <w:vAlign w:val="bottom"/>
            <w:tcBorders>
              <w:top w:val="single" w:sz="8" w:color="0000FF"/>
            </w:tcBorders>
          </w:tcPr>
          <w:p>
            <w:pPr>
              <w:spacing w:after="0"/>
              <w:rPr>
                <w:sz w:val="16"/>
                <w:szCs w:val="16"/>
                <w:color w:val="auto"/>
              </w:rPr>
            </w:pPr>
          </w:p>
        </w:tc>
        <w:tc>
          <w:tcPr>
            <w:tcW w:w="17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7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78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10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4"/>
                <w:szCs w:val="24"/>
                <w:color w:val="auto"/>
              </w:rPr>
            </w:pPr>
          </w:p>
        </w:tc>
        <w:tc>
          <w:tcPr>
            <w:tcW w:w="9600" w:type="dxa"/>
            <w:vAlign w:val="bottom"/>
            <w:tcBorders>
              <w:bottom w:val="single" w:sz="8" w:color="0000FF"/>
            </w:tcBorders>
            <w:gridSpan w:val="22"/>
          </w:tcPr>
          <w:p>
            <w:pPr>
              <w:spacing w:after="0"/>
              <w:rPr>
                <w:rFonts w:ascii="Arial" w:cs="Arial" w:eastAsia="Arial" w:hAnsi="Arial"/>
                <w:sz w:val="17"/>
                <w:szCs w:val="17"/>
                <w:color w:val="0000FF"/>
              </w:rPr>
            </w:pPr>
            <w:hyperlink r:id="rId211">
              <w:r>
                <w:rPr>
                  <w:rFonts w:ascii="Arial" w:cs="Arial" w:eastAsia="Arial" w:hAnsi="Arial"/>
                  <w:sz w:val="17"/>
                  <w:szCs w:val="17"/>
                  <w:color w:val="0000FF"/>
                </w:rPr>
                <w:t>Sionna Therapeutics, Inc. 2025 Employee Stock Purchase Plan (Incorporated by reference to Exhibit 10.3 of the Registrant’s</w:t>
              </w:r>
            </w:hyperlink>
          </w:p>
        </w:tc>
        <w:tc>
          <w:tcPr>
            <w:tcW w:w="100" w:type="dxa"/>
            <w:vAlign w:val="bottom"/>
            <w:gridSpan w:val="4"/>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6"/>
          </w:tcPr>
          <w:p>
            <w:pPr>
              <w:spacing w:after="0" w:line="189" w:lineRule="exact"/>
              <w:rPr>
                <w:rFonts w:ascii="Arial" w:cs="Arial" w:eastAsia="Arial" w:hAnsi="Arial"/>
                <w:sz w:val="17"/>
                <w:szCs w:val="17"/>
                <w:color w:val="0000FF"/>
              </w:rPr>
            </w:pPr>
            <w:hyperlink r:id="rId211">
              <w:r>
                <w:rPr>
                  <w:rFonts w:ascii="Arial" w:cs="Arial" w:eastAsia="Arial" w:hAnsi="Arial"/>
                  <w:sz w:val="17"/>
                  <w:szCs w:val="17"/>
                  <w:color w:val="0000FF"/>
                </w:rPr>
                <w:t>Registration Statement on Form S-1/A (File No. 333-284352) filed on February 3, 2025).</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4"/>
                <w:szCs w:val="24"/>
                <w:color w:val="auto"/>
              </w:rPr>
            </w:pPr>
          </w:p>
        </w:tc>
        <w:tc>
          <w:tcPr>
            <w:tcW w:w="9460" w:type="dxa"/>
            <w:vAlign w:val="bottom"/>
            <w:tcBorders>
              <w:bottom w:val="single" w:sz="8" w:color="0000FF"/>
            </w:tcBorders>
            <w:gridSpan w:val="19"/>
          </w:tcPr>
          <w:p>
            <w:pPr>
              <w:spacing w:after="0"/>
              <w:rPr>
                <w:rFonts w:ascii="Arial" w:cs="Arial" w:eastAsia="Arial" w:hAnsi="Arial"/>
                <w:sz w:val="17"/>
                <w:szCs w:val="17"/>
                <w:color w:val="0000FF"/>
              </w:rPr>
            </w:pPr>
            <w:hyperlink r:id="rId212">
              <w:r>
                <w:rPr>
                  <w:rFonts w:ascii="Arial" w:cs="Arial" w:eastAsia="Arial" w:hAnsi="Arial"/>
                  <w:sz w:val="17"/>
                  <w:szCs w:val="17"/>
                  <w:color w:val="0000FF"/>
                </w:rPr>
                <w:t>Form of Indemnification Agreement by and between the Registrant and its directors and executive officers (Incorporated by</w:t>
              </w:r>
            </w:hyperlink>
          </w:p>
        </w:tc>
        <w:tc>
          <w:tcPr>
            <w:tcW w:w="240" w:type="dxa"/>
            <w:vAlign w:val="bottom"/>
            <w:gridSpan w:val="7"/>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6"/>
          </w:tcPr>
          <w:p>
            <w:pPr>
              <w:spacing w:after="0" w:line="189" w:lineRule="exact"/>
              <w:rPr>
                <w:rFonts w:ascii="Arial" w:cs="Arial" w:eastAsia="Arial" w:hAnsi="Arial"/>
                <w:sz w:val="17"/>
                <w:szCs w:val="17"/>
                <w:color w:val="0000FF"/>
              </w:rPr>
            </w:pPr>
            <w:hyperlink r:id="rId212">
              <w:r>
                <w:rPr>
                  <w:rFonts w:ascii="Arial" w:cs="Arial" w:eastAsia="Arial" w:hAnsi="Arial"/>
                  <w:sz w:val="17"/>
                  <w:szCs w:val="17"/>
                  <w:color w:val="0000FF"/>
                </w:rPr>
                <w:t>reference to Exhibit 10.4 of the Registrant’s Registration Statement on Form S-1/A (File No. 333-284352) filed on February 3,</w:t>
              </w:r>
            </w:hyperlink>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0000FF"/>
              <w:bottom w:val="single" w:sz="8" w:color="0000FF"/>
            </w:tcBorders>
          </w:tcPr>
          <w:p>
            <w:pPr>
              <w:spacing w:after="0" w:line="189" w:lineRule="exact"/>
              <w:rPr>
                <w:rFonts w:ascii="Arial" w:cs="Arial" w:eastAsia="Arial" w:hAnsi="Arial"/>
                <w:sz w:val="17"/>
                <w:szCs w:val="17"/>
                <w:color w:val="0000FF"/>
                <w:w w:val="99"/>
              </w:rPr>
            </w:pPr>
            <w:hyperlink r:id="rId212">
              <w:r>
                <w:rPr>
                  <w:rFonts w:ascii="Arial" w:cs="Arial" w:eastAsia="Arial" w:hAnsi="Arial"/>
                  <w:sz w:val="17"/>
                  <w:szCs w:val="17"/>
                  <w:color w:val="0000FF"/>
                  <w:w w:val="99"/>
                </w:rPr>
                <w:t>2025).</w:t>
              </w:r>
            </w:hyperlink>
          </w:p>
        </w:tc>
        <w:tc>
          <w:tcPr>
            <w:tcW w:w="1540" w:type="dxa"/>
            <w:vAlign w:val="bottom"/>
            <w:tcBorders>
              <w:top w:val="single" w:sz="8" w:color="0000FF"/>
            </w:tcBorders>
          </w:tcPr>
          <w:p>
            <w:pPr>
              <w:spacing w:after="0"/>
              <w:rPr>
                <w:sz w:val="16"/>
                <w:szCs w:val="16"/>
                <w:color w:val="auto"/>
              </w:rPr>
            </w:pPr>
          </w:p>
        </w:tc>
        <w:tc>
          <w:tcPr>
            <w:tcW w:w="17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7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78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10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7"/>
                <w:szCs w:val="17"/>
                <w:color w:val="0000FF"/>
              </w:rPr>
            </w:pPr>
            <w:hyperlink r:id="rId213">
              <w:r>
                <w:rPr>
                  <w:rFonts w:ascii="Arial" w:cs="Arial" w:eastAsia="Arial" w:hAnsi="Arial"/>
                  <w:sz w:val="17"/>
                  <w:szCs w:val="17"/>
                  <w:color w:val="0000FF"/>
                </w:rPr>
                <w:t>Senior Executive Cash Incentive Bonus Plan (Incorporated by reference to Exhibit 10.5 of the Registrant’s Registration</w:t>
              </w:r>
            </w:hyperlink>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20" w:type="dxa"/>
            <w:vAlign w:val="bottom"/>
            <w:tcBorders>
              <w:top w:val="single" w:sz="8" w:color="0000FF"/>
              <w:bottom w:val="single" w:sz="8" w:color="0000FF"/>
            </w:tcBorders>
            <w:gridSpan w:val="8"/>
          </w:tcPr>
          <w:p>
            <w:pPr>
              <w:spacing w:after="0" w:line="189" w:lineRule="exact"/>
              <w:rPr>
                <w:rFonts w:ascii="Arial" w:cs="Arial" w:eastAsia="Arial" w:hAnsi="Arial"/>
                <w:sz w:val="17"/>
                <w:szCs w:val="17"/>
                <w:color w:val="0000FF"/>
              </w:rPr>
            </w:pPr>
            <w:hyperlink r:id="rId213">
              <w:r>
                <w:rPr>
                  <w:rFonts w:ascii="Arial" w:cs="Arial" w:eastAsia="Arial" w:hAnsi="Arial"/>
                  <w:sz w:val="17"/>
                  <w:szCs w:val="17"/>
                  <w:color w:val="0000FF"/>
                </w:rPr>
                <w:t>Statement on Form S-1/A (File No. 333-284352) filed on February 3, 2025).</w:t>
              </w:r>
            </w:hyperlink>
          </w:p>
        </w:tc>
        <w:tc>
          <w:tcPr>
            <w:tcW w:w="3300" w:type="dxa"/>
            <w:vAlign w:val="bottom"/>
            <w:tcBorders>
              <w:top w:val="single" w:sz="8" w:color="0000FF"/>
            </w:tcBorders>
            <w:gridSpan w:val="5"/>
          </w:tcPr>
          <w:p>
            <w:pPr>
              <w:spacing w:after="0"/>
              <w:rPr>
                <w:sz w:val="16"/>
                <w:szCs w:val="16"/>
                <w:color w:val="auto"/>
              </w:rPr>
            </w:pPr>
          </w:p>
        </w:tc>
        <w:tc>
          <w:tcPr>
            <w:tcW w:w="580" w:type="dxa"/>
            <w:vAlign w:val="bottom"/>
            <w:gridSpan w:val="13"/>
          </w:tcPr>
          <w:p>
            <w:pPr>
              <w:spacing w:after="0"/>
              <w:rPr>
                <w:sz w:val="16"/>
                <w:szCs w:val="16"/>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7"/>
                <w:szCs w:val="17"/>
                <w:color w:val="0000FF"/>
              </w:rPr>
            </w:pPr>
            <w:hyperlink r:id="rId214">
              <w:r>
                <w:rPr>
                  <w:rFonts w:ascii="Arial" w:cs="Arial" w:eastAsia="Arial" w:hAnsi="Arial"/>
                  <w:sz w:val="17"/>
                  <w:szCs w:val="17"/>
                  <w:color w:val="0000FF"/>
                </w:rPr>
                <w:t>Severance and Change in Control Plan (Incorporated by reference to Exhibit 10.6 of the Registrant’s Registration Statement</w:t>
              </w:r>
            </w:hyperlink>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Borders>
              <w:top w:val="single" w:sz="8" w:color="0000FF"/>
              <w:bottom w:val="single" w:sz="8" w:color="0000FF"/>
            </w:tcBorders>
            <w:gridSpan w:val="6"/>
          </w:tcPr>
          <w:p>
            <w:pPr>
              <w:spacing w:after="0" w:line="189" w:lineRule="exact"/>
              <w:rPr>
                <w:rFonts w:ascii="Arial" w:cs="Arial" w:eastAsia="Arial" w:hAnsi="Arial"/>
                <w:sz w:val="17"/>
                <w:szCs w:val="17"/>
                <w:color w:val="0000FF"/>
              </w:rPr>
            </w:pPr>
            <w:hyperlink r:id="rId214">
              <w:r>
                <w:rPr>
                  <w:rFonts w:ascii="Arial" w:cs="Arial" w:eastAsia="Arial" w:hAnsi="Arial"/>
                  <w:sz w:val="17"/>
                  <w:szCs w:val="17"/>
                  <w:color w:val="0000FF"/>
                </w:rPr>
                <w:t>on Form S-1/A (File No. 333-284352) filed on February 3, 2025).</w:t>
              </w:r>
            </w:hyperlink>
          </w:p>
        </w:tc>
        <w:tc>
          <w:tcPr>
            <w:tcW w:w="4580" w:type="dxa"/>
            <w:vAlign w:val="bottom"/>
            <w:tcBorders>
              <w:top w:val="single" w:sz="8" w:color="0000FF"/>
            </w:tcBorders>
            <w:gridSpan w:val="15"/>
          </w:tcPr>
          <w:p>
            <w:pPr>
              <w:spacing w:after="0"/>
              <w:rPr>
                <w:sz w:val="16"/>
                <w:szCs w:val="16"/>
                <w:color w:val="auto"/>
              </w:rPr>
            </w:pPr>
          </w:p>
        </w:tc>
        <w:tc>
          <w:tcPr>
            <w:tcW w:w="140" w:type="dxa"/>
            <w:vAlign w:val="bottom"/>
            <w:gridSpan w:val="5"/>
          </w:tcPr>
          <w:p>
            <w:pPr>
              <w:spacing w:after="0"/>
              <w:rPr>
                <w:sz w:val="16"/>
                <w:szCs w:val="16"/>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4"/>
                <w:szCs w:val="24"/>
                <w:color w:val="auto"/>
              </w:rPr>
            </w:pPr>
          </w:p>
        </w:tc>
        <w:tc>
          <w:tcPr>
            <w:tcW w:w="542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Amended and Restated Non-Employee Director Compensation Policy.</w:t>
            </w:r>
          </w:p>
        </w:tc>
        <w:tc>
          <w:tcPr>
            <w:tcW w:w="4280" w:type="dxa"/>
            <w:vAlign w:val="bottom"/>
            <w:gridSpan w:val="19"/>
          </w:tcPr>
          <w:p>
            <w:pPr>
              <w:spacing w:after="0"/>
              <w:rPr>
                <w:sz w:val="24"/>
                <w:szCs w:val="24"/>
                <w:color w:val="auto"/>
              </w:rPr>
            </w:pPr>
          </w:p>
        </w:tc>
      </w:tr>
      <w:tr>
        <w:trPr>
          <w:trHeight w:val="293"/>
        </w:trPr>
        <w:tc>
          <w:tcPr>
            <w:tcW w:w="1540" w:type="dxa"/>
            <w:vAlign w:val="bottom"/>
            <w:gridSpan w:val="2"/>
          </w:tcPr>
          <w:p>
            <w:pPr>
              <w:ind w:left="20"/>
              <w:spacing w:after="0"/>
              <w:rPr>
                <w:sz w:val="20"/>
                <w:szCs w:val="20"/>
                <w:color w:val="auto"/>
              </w:rPr>
            </w:pPr>
            <w:r>
              <w:rPr>
                <w:rFonts w:ascii="Arial" w:cs="Arial" w:eastAsia="Arial" w:hAnsi="Arial"/>
                <w:sz w:val="17"/>
                <w:szCs w:val="17"/>
                <w:color w:val="auto"/>
              </w:rPr>
              <w:t>10.8†+</w:t>
            </w:r>
          </w:p>
        </w:tc>
        <w:tc>
          <w:tcPr>
            <w:tcW w:w="9180" w:type="dxa"/>
            <w:vAlign w:val="bottom"/>
            <w:tcBorders>
              <w:bottom w:val="single" w:sz="8" w:color="0000FF"/>
            </w:tcBorders>
            <w:gridSpan w:val="14"/>
          </w:tcPr>
          <w:p>
            <w:pPr>
              <w:spacing w:after="0"/>
              <w:rPr>
                <w:rFonts w:ascii="Arial" w:cs="Arial" w:eastAsia="Arial" w:hAnsi="Arial"/>
                <w:sz w:val="17"/>
                <w:szCs w:val="17"/>
                <w:color w:val="0000FF"/>
              </w:rPr>
            </w:pPr>
            <w:hyperlink r:id="rId215">
              <w:r>
                <w:rPr>
                  <w:rFonts w:ascii="Arial" w:cs="Arial" w:eastAsia="Arial" w:hAnsi="Arial"/>
                  <w:sz w:val="17"/>
                  <w:szCs w:val="17"/>
                  <w:color w:val="0000FF"/>
                </w:rPr>
                <w:t>License Agreement by and between the Registrant and Sanofi Genzyme, dated as of December 20, 2019, as amended</w:t>
              </w:r>
            </w:hyperlink>
          </w:p>
        </w:tc>
        <w:tc>
          <w:tcPr>
            <w:tcW w:w="520" w:type="dxa"/>
            <w:vAlign w:val="bottom"/>
            <w:gridSpan w:val="12"/>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0" w:type="dxa"/>
            <w:vAlign w:val="bottom"/>
            <w:tcBorders>
              <w:bottom w:val="single" w:sz="8" w:color="0000FF"/>
            </w:tcBorders>
            <w:gridSpan w:val="17"/>
          </w:tcPr>
          <w:p>
            <w:pPr>
              <w:spacing w:after="0" w:line="189" w:lineRule="exact"/>
              <w:rPr>
                <w:rFonts w:ascii="Arial" w:cs="Arial" w:eastAsia="Arial" w:hAnsi="Arial"/>
                <w:sz w:val="17"/>
                <w:szCs w:val="17"/>
                <w:color w:val="0000FF"/>
              </w:rPr>
            </w:pPr>
            <w:hyperlink r:id="rId215">
              <w:r>
                <w:rPr>
                  <w:rFonts w:ascii="Arial" w:cs="Arial" w:eastAsia="Arial" w:hAnsi="Arial"/>
                  <w:sz w:val="17"/>
                  <w:szCs w:val="17"/>
                  <w:color w:val="0000FF"/>
                </w:rPr>
                <w:t>(Incorporated by reference to Exhibit 10.9 of the Registrant’s Registration Statement on Form S-1/A (File No. 333-284352)</w:t>
              </w:r>
            </w:hyperlink>
          </w:p>
        </w:tc>
        <w:tc>
          <w:tcPr>
            <w:tcW w:w="300" w:type="dxa"/>
            <w:vAlign w:val="bottom"/>
            <w:gridSpan w:val="9"/>
          </w:tcPr>
          <w:p>
            <w:pPr>
              <w:spacing w:after="0"/>
              <w:rPr>
                <w:sz w:val="16"/>
                <w:szCs w:val="16"/>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6"/>
          </w:tcPr>
          <w:p>
            <w:pPr>
              <w:spacing w:after="0" w:line="189" w:lineRule="exact"/>
              <w:rPr>
                <w:rFonts w:ascii="Arial" w:cs="Arial" w:eastAsia="Arial" w:hAnsi="Arial"/>
                <w:sz w:val="17"/>
                <w:szCs w:val="17"/>
                <w:color w:val="0000FF"/>
              </w:rPr>
            </w:pPr>
            <w:hyperlink r:id="rId215">
              <w:r>
                <w:rPr>
                  <w:rFonts w:ascii="Arial" w:cs="Arial" w:eastAsia="Arial" w:hAnsi="Arial"/>
                  <w:sz w:val="17"/>
                  <w:szCs w:val="17"/>
                  <w:color w:val="0000FF"/>
                </w:rPr>
                <w:t>filed on February 3, 2025).</w:t>
              </w:r>
            </w:hyperlink>
          </w:p>
        </w:tc>
      </w:tr>
      <w:tr>
        <w:trPr>
          <w:trHeight w:val="767"/>
        </w:trPr>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top w:val="single" w:sz="8" w:color="0000FF"/>
            </w:tcBorders>
            <w:gridSpan w:val="2"/>
          </w:tcPr>
          <w:p>
            <w:pPr>
              <w:spacing w:after="0"/>
              <w:rPr>
                <w:sz w:val="24"/>
                <w:szCs w:val="24"/>
                <w:color w:val="auto"/>
              </w:rPr>
            </w:pPr>
          </w:p>
        </w:tc>
        <w:tc>
          <w:tcPr>
            <w:tcW w:w="2680" w:type="dxa"/>
            <w:vAlign w:val="bottom"/>
            <w:gridSpan w:val="3"/>
          </w:tcPr>
          <w:p>
            <w:pPr>
              <w:jc w:val="right"/>
              <w:ind w:right="430"/>
              <w:spacing w:after="0"/>
              <w:rPr>
                <w:sz w:val="20"/>
                <w:szCs w:val="20"/>
                <w:color w:val="auto"/>
              </w:rPr>
            </w:pPr>
            <w:r>
              <w:rPr>
                <w:rFonts w:ascii="Arial" w:cs="Arial" w:eastAsia="Arial" w:hAnsi="Arial"/>
                <w:sz w:val="17"/>
                <w:szCs w:val="17"/>
                <w:color w:val="auto"/>
              </w:rPr>
              <w:t>123</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gridSpan w:val="2"/>
          </w:tcPr>
          <w:p>
            <w:pPr>
              <w:ind w:left="500"/>
              <w:spacing w:after="0"/>
              <w:rPr>
                <w:sz w:val="20"/>
                <w:szCs w:val="20"/>
                <w:color w:val="auto"/>
              </w:rPr>
            </w:pPr>
            <w:r>
              <w:rPr>
                <w:rFonts w:ascii="Arial" w:cs="Arial" w:eastAsia="Arial" w:hAnsi="Arial"/>
                <w:sz w:val="14"/>
                <w:szCs w:val="14"/>
                <w:b w:val="1"/>
                <w:bCs w:val="1"/>
                <w:color w:val="auto"/>
              </w:rPr>
              <w:t>Exhibit</w:t>
            </w: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9"/>
        </w:trPr>
        <w:tc>
          <w:tcPr>
            <w:tcW w:w="14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gridSpan w:val="19"/>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540" w:type="dxa"/>
            <w:vAlign w:val="bottom"/>
            <w:gridSpan w:val="2"/>
          </w:tcPr>
          <w:p>
            <w:pPr>
              <w:ind w:left="20"/>
              <w:spacing w:after="0"/>
              <w:rPr>
                <w:sz w:val="20"/>
                <w:szCs w:val="20"/>
                <w:color w:val="auto"/>
              </w:rPr>
            </w:pPr>
            <w:r>
              <w:rPr>
                <w:rFonts w:ascii="Arial" w:cs="Arial" w:eastAsia="Arial" w:hAnsi="Arial"/>
                <w:sz w:val="17"/>
                <w:szCs w:val="17"/>
                <w:color w:val="auto"/>
              </w:rPr>
              <w:t>10.9†+</w:t>
            </w:r>
          </w:p>
        </w:tc>
        <w:tc>
          <w:tcPr>
            <w:tcW w:w="9700" w:type="dxa"/>
            <w:vAlign w:val="bottom"/>
            <w:gridSpan w:val="23"/>
          </w:tcPr>
          <w:p>
            <w:pPr>
              <w:spacing w:after="0"/>
              <w:rPr>
                <w:rFonts w:ascii="Arial" w:cs="Arial" w:eastAsia="Arial" w:hAnsi="Arial"/>
                <w:sz w:val="17"/>
                <w:szCs w:val="17"/>
                <w:color w:val="0000FF"/>
              </w:rPr>
            </w:pPr>
            <w:hyperlink r:id="rId218">
              <w:r>
                <w:rPr>
                  <w:rFonts w:ascii="Arial" w:cs="Arial" w:eastAsia="Arial" w:hAnsi="Arial"/>
                  <w:sz w:val="17"/>
                  <w:szCs w:val="17"/>
                  <w:color w:val="0000FF"/>
                </w:rPr>
                <w:t>License Agreement by and between the Registrant and AbbVie Global Enterprises Ltd., dated as of July 11, 2024</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tcBorders>
              <w:bottom w:val="single" w:sz="8" w:color="0000FF"/>
            </w:tcBorders>
            <w:gridSpan w:val="18"/>
          </w:tcPr>
          <w:p>
            <w:pPr>
              <w:spacing w:after="0" w:line="189" w:lineRule="exact"/>
              <w:rPr>
                <w:rFonts w:ascii="Arial" w:cs="Arial" w:eastAsia="Arial" w:hAnsi="Arial"/>
                <w:sz w:val="17"/>
                <w:szCs w:val="17"/>
                <w:color w:val="0000FF"/>
              </w:rPr>
            </w:pPr>
            <w:hyperlink r:id="rId218">
              <w:r>
                <w:rPr>
                  <w:rFonts w:ascii="Arial" w:cs="Arial" w:eastAsia="Arial" w:hAnsi="Arial"/>
                  <w:sz w:val="17"/>
                  <w:szCs w:val="17"/>
                  <w:color w:val="0000FF"/>
                </w:rPr>
                <w:t>(Incorporated by reference to Exhibit 10.10 of the Registrant’s Registration Statement on Form S-1/A (File No. 333-284352)</w:t>
              </w:r>
            </w:hyperlink>
          </w:p>
        </w:tc>
        <w:tc>
          <w:tcPr>
            <w:tcW w:w="200" w:type="dxa"/>
            <w:vAlign w:val="bottom"/>
            <w:gridSpan w:val="5"/>
          </w:tcPr>
          <w:p>
            <w:pPr>
              <w:spacing w:after="0"/>
              <w:rPr>
                <w:sz w:val="16"/>
                <w:szCs w:val="16"/>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3"/>
          </w:tcPr>
          <w:p>
            <w:pPr>
              <w:spacing w:after="0" w:line="189" w:lineRule="exact"/>
              <w:rPr>
                <w:rFonts w:ascii="Arial" w:cs="Arial" w:eastAsia="Arial" w:hAnsi="Arial"/>
                <w:sz w:val="17"/>
                <w:szCs w:val="17"/>
                <w:color w:val="0000FF"/>
              </w:rPr>
            </w:pPr>
            <w:hyperlink r:id="rId218">
              <w:r>
                <w:rPr>
                  <w:rFonts w:ascii="Arial" w:cs="Arial" w:eastAsia="Arial" w:hAnsi="Arial"/>
                  <w:sz w:val="17"/>
                  <w:szCs w:val="17"/>
                  <w:color w:val="0000FF"/>
                </w:rPr>
                <w:t>filed on February 3, 2025).</w:t>
              </w:r>
            </w:hyperlink>
          </w:p>
        </w:tc>
      </w:tr>
      <w:tr>
        <w:trPr>
          <w:trHeight w:val="20"/>
        </w:trPr>
        <w:tc>
          <w:tcPr>
            <w:tcW w:w="1540" w:type="dxa"/>
            <w:vAlign w:val="bottom"/>
            <w:gridSpan w:val="2"/>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3"/>
        </w:trPr>
        <w:tc>
          <w:tcPr>
            <w:tcW w:w="1540" w:type="dxa"/>
            <w:vAlign w:val="bottom"/>
            <w:gridSpan w:val="2"/>
          </w:tcPr>
          <w:p>
            <w:pPr>
              <w:ind w:left="20"/>
              <w:spacing w:after="0"/>
              <w:rPr>
                <w:sz w:val="20"/>
                <w:szCs w:val="20"/>
                <w:color w:val="auto"/>
              </w:rPr>
            </w:pPr>
            <w:r>
              <w:rPr>
                <w:rFonts w:ascii="Arial" w:cs="Arial" w:eastAsia="Arial" w:hAnsi="Arial"/>
                <w:sz w:val="17"/>
                <w:szCs w:val="17"/>
                <w:color w:val="auto"/>
              </w:rPr>
              <w:t>10.10†+</w:t>
            </w:r>
          </w:p>
        </w:tc>
        <w:tc>
          <w:tcPr>
            <w:tcW w:w="8980" w:type="dxa"/>
            <w:vAlign w:val="bottom"/>
            <w:tcBorders>
              <w:bottom w:val="single" w:sz="8" w:color="0000FF"/>
            </w:tcBorders>
            <w:gridSpan w:val="9"/>
          </w:tcPr>
          <w:p>
            <w:pPr>
              <w:spacing w:after="0"/>
              <w:rPr>
                <w:rFonts w:ascii="Arial" w:cs="Arial" w:eastAsia="Arial" w:hAnsi="Arial"/>
                <w:sz w:val="17"/>
                <w:szCs w:val="17"/>
                <w:color w:val="0000FF"/>
              </w:rPr>
            </w:pPr>
            <w:hyperlink r:id="rId219">
              <w:r>
                <w:rPr>
                  <w:rFonts w:ascii="Arial" w:cs="Arial" w:eastAsia="Arial" w:hAnsi="Arial"/>
                  <w:sz w:val="17"/>
                  <w:szCs w:val="17"/>
                  <w:color w:val="0000FF"/>
                </w:rPr>
                <w:t>Payment Agreement by and between the Registrant and Cystic Fibrosis Foundation, dated as of December 20, 2019</w:t>
              </w:r>
            </w:hyperlink>
          </w:p>
        </w:tc>
        <w:tc>
          <w:tcPr>
            <w:tcW w:w="720" w:type="dxa"/>
            <w:vAlign w:val="bottom"/>
            <w:gridSpan w:val="14"/>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80" w:type="dxa"/>
            <w:vAlign w:val="bottom"/>
            <w:tcBorders>
              <w:bottom w:val="single" w:sz="8" w:color="0000FF"/>
            </w:tcBorders>
            <w:gridSpan w:val="17"/>
          </w:tcPr>
          <w:p>
            <w:pPr>
              <w:spacing w:after="0" w:line="189" w:lineRule="exact"/>
              <w:rPr>
                <w:rFonts w:ascii="Arial" w:cs="Arial" w:eastAsia="Arial" w:hAnsi="Arial"/>
                <w:sz w:val="17"/>
                <w:szCs w:val="17"/>
                <w:color w:val="0000FF"/>
              </w:rPr>
            </w:pPr>
            <w:hyperlink r:id="rId219">
              <w:r>
                <w:rPr>
                  <w:rFonts w:ascii="Arial" w:cs="Arial" w:eastAsia="Arial" w:hAnsi="Arial"/>
                  <w:sz w:val="17"/>
                  <w:szCs w:val="17"/>
                  <w:color w:val="0000FF"/>
                </w:rPr>
                <w:t>(Incorporated by reference to Exhibit 10.11 of the Registrant’s Registration Statement on Form S-1/A (File No. 333-284352)</w:t>
              </w:r>
            </w:hyperlink>
          </w:p>
        </w:tc>
        <w:tc>
          <w:tcPr>
            <w:tcW w:w="220" w:type="dxa"/>
            <w:vAlign w:val="bottom"/>
            <w:gridSpan w:val="6"/>
          </w:tcPr>
          <w:p>
            <w:pPr>
              <w:spacing w:after="0"/>
              <w:rPr>
                <w:sz w:val="16"/>
                <w:szCs w:val="16"/>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3"/>
          </w:tcPr>
          <w:p>
            <w:pPr>
              <w:spacing w:after="0" w:line="189" w:lineRule="exact"/>
              <w:rPr>
                <w:rFonts w:ascii="Arial" w:cs="Arial" w:eastAsia="Arial" w:hAnsi="Arial"/>
                <w:sz w:val="17"/>
                <w:szCs w:val="17"/>
                <w:color w:val="0000FF"/>
              </w:rPr>
            </w:pPr>
            <w:hyperlink r:id="rId219">
              <w:r>
                <w:rPr>
                  <w:rFonts w:ascii="Arial" w:cs="Arial" w:eastAsia="Arial" w:hAnsi="Arial"/>
                  <w:sz w:val="17"/>
                  <w:szCs w:val="17"/>
                  <w:color w:val="0000FF"/>
                </w:rPr>
                <w:t>filed on February 3, 2025).</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10.11#+</w:t>
            </w:r>
          </w:p>
        </w:tc>
        <w:tc>
          <w:tcPr>
            <w:tcW w:w="100" w:type="dxa"/>
            <w:vAlign w:val="bottom"/>
          </w:tcPr>
          <w:p>
            <w:pPr>
              <w:spacing w:after="0"/>
              <w:rPr>
                <w:sz w:val="24"/>
                <w:szCs w:val="24"/>
                <w:color w:val="auto"/>
              </w:rPr>
            </w:pPr>
          </w:p>
        </w:tc>
        <w:tc>
          <w:tcPr>
            <w:tcW w:w="9700" w:type="dxa"/>
            <w:vAlign w:val="bottom"/>
            <w:gridSpan w:val="23"/>
          </w:tcPr>
          <w:p>
            <w:pPr>
              <w:spacing w:after="0"/>
              <w:rPr>
                <w:rFonts w:ascii="Arial" w:cs="Arial" w:eastAsia="Arial" w:hAnsi="Arial"/>
                <w:sz w:val="17"/>
                <w:szCs w:val="17"/>
                <w:color w:val="0000FF"/>
              </w:rPr>
            </w:pPr>
            <w:hyperlink r:id="rId220">
              <w:r>
                <w:rPr>
                  <w:rFonts w:ascii="Arial" w:cs="Arial" w:eastAsia="Arial" w:hAnsi="Arial"/>
                  <w:sz w:val="17"/>
                  <w:szCs w:val="17"/>
                  <w:color w:val="0000FF"/>
                </w:rPr>
                <w:t>Offer Letter by and between the Registrant and Michael Cloonan, dated as of March 8, 2021 (Incorporated by reference to</w:t>
              </w:r>
            </w:hyperlink>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380" w:type="dxa"/>
            <w:vAlign w:val="bottom"/>
            <w:tcBorders>
              <w:top w:val="single" w:sz="8" w:color="0000FF"/>
            </w:tcBorders>
            <w:gridSpan w:val="15"/>
          </w:tcPr>
          <w:p>
            <w:pPr>
              <w:spacing w:after="0" w:line="189" w:lineRule="exact"/>
              <w:rPr>
                <w:rFonts w:ascii="Arial" w:cs="Arial" w:eastAsia="Arial" w:hAnsi="Arial"/>
                <w:sz w:val="17"/>
                <w:szCs w:val="17"/>
                <w:color w:val="0000FF"/>
              </w:rPr>
            </w:pPr>
            <w:hyperlink r:id="rId220">
              <w:r>
                <w:rPr>
                  <w:rFonts w:ascii="Arial" w:cs="Arial" w:eastAsia="Arial" w:hAnsi="Arial"/>
                  <w:sz w:val="17"/>
                  <w:szCs w:val="17"/>
                  <w:color w:val="0000FF"/>
                </w:rPr>
                <w:t>Exhibit 10.12 of the Registrant’s Registration Statement on Form S-1/A (File No. 333-284352) filed on February 3, 2025).</w:t>
              </w:r>
            </w:hyperlink>
          </w:p>
        </w:tc>
        <w:tc>
          <w:tcPr>
            <w:tcW w:w="320" w:type="dxa"/>
            <w:vAlign w:val="bottom"/>
            <w:gridSpan w:val="8"/>
          </w:tcPr>
          <w:p>
            <w:pPr>
              <w:spacing w:after="0"/>
              <w:rPr>
                <w:sz w:val="16"/>
                <w:szCs w:val="16"/>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10.12#+</w:t>
            </w:r>
          </w:p>
        </w:tc>
        <w:tc>
          <w:tcPr>
            <w:tcW w:w="100" w:type="dxa"/>
            <w:vAlign w:val="bottom"/>
          </w:tcPr>
          <w:p>
            <w:pPr>
              <w:spacing w:after="0"/>
              <w:rPr>
                <w:sz w:val="24"/>
                <w:szCs w:val="24"/>
                <w:color w:val="auto"/>
              </w:rPr>
            </w:pPr>
          </w:p>
        </w:tc>
        <w:tc>
          <w:tcPr>
            <w:tcW w:w="9240" w:type="dxa"/>
            <w:vAlign w:val="bottom"/>
            <w:tcBorders>
              <w:top w:val="single" w:sz="8" w:color="0000FF"/>
              <w:bottom w:val="single" w:sz="8" w:color="0000FF"/>
            </w:tcBorders>
            <w:gridSpan w:val="12"/>
          </w:tcPr>
          <w:p>
            <w:pPr>
              <w:spacing w:after="0"/>
              <w:rPr>
                <w:rFonts w:ascii="Arial" w:cs="Arial" w:eastAsia="Arial" w:hAnsi="Arial"/>
                <w:sz w:val="17"/>
                <w:szCs w:val="17"/>
                <w:color w:val="0000FF"/>
              </w:rPr>
            </w:pPr>
            <w:hyperlink r:id="rId221">
              <w:r>
                <w:rPr>
                  <w:rFonts w:ascii="Arial" w:cs="Arial" w:eastAsia="Arial" w:hAnsi="Arial"/>
                  <w:sz w:val="17"/>
                  <w:szCs w:val="17"/>
                  <w:color w:val="0000FF"/>
                </w:rPr>
                <w:t>Offer Letter by and between the Registrant and Charlotte McKee, dated as of May 7, 2021 (Incorporated by reference to</w:t>
              </w:r>
            </w:hyperlink>
          </w:p>
        </w:tc>
        <w:tc>
          <w:tcPr>
            <w:tcW w:w="40" w:type="dxa"/>
            <w:vAlign w:val="bottom"/>
            <w:tcBorders>
              <w:top w:val="single" w:sz="8" w:color="0000FF"/>
            </w:tcBorders>
          </w:tcPr>
          <w:p>
            <w:pPr>
              <w:spacing w:after="0"/>
              <w:rPr>
                <w:sz w:val="24"/>
                <w:szCs w:val="24"/>
                <w:color w:val="auto"/>
              </w:rPr>
            </w:pPr>
          </w:p>
        </w:tc>
        <w:tc>
          <w:tcPr>
            <w:tcW w:w="420" w:type="dxa"/>
            <w:vAlign w:val="bottom"/>
            <w:gridSpan w:val="10"/>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3"/>
          </w:tcPr>
          <w:p>
            <w:pPr>
              <w:spacing w:after="0" w:line="189" w:lineRule="exact"/>
              <w:rPr>
                <w:rFonts w:ascii="Arial" w:cs="Arial" w:eastAsia="Arial" w:hAnsi="Arial"/>
                <w:sz w:val="17"/>
                <w:szCs w:val="17"/>
                <w:color w:val="0000FF"/>
              </w:rPr>
            </w:pPr>
            <w:hyperlink r:id="rId221">
              <w:r>
                <w:rPr>
                  <w:rFonts w:ascii="Arial" w:cs="Arial" w:eastAsia="Arial" w:hAnsi="Arial"/>
                  <w:sz w:val="17"/>
                  <w:szCs w:val="17"/>
                  <w:color w:val="0000FF"/>
                </w:rPr>
                <w:t>Exhibit 10.13 of the Registrant’s Registration Statement on Form S-1/A (File No. 333-284352) filed on February 3, 2025).</w:t>
              </w:r>
            </w:hyperlink>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10.13#+</w:t>
            </w:r>
          </w:p>
        </w:tc>
        <w:tc>
          <w:tcPr>
            <w:tcW w:w="100" w:type="dxa"/>
            <w:vAlign w:val="bottom"/>
          </w:tcPr>
          <w:p>
            <w:pPr>
              <w:spacing w:after="0"/>
              <w:rPr>
                <w:sz w:val="24"/>
                <w:szCs w:val="24"/>
                <w:color w:val="auto"/>
              </w:rPr>
            </w:pPr>
          </w:p>
        </w:tc>
        <w:tc>
          <w:tcPr>
            <w:tcW w:w="9280" w:type="dxa"/>
            <w:vAlign w:val="bottom"/>
            <w:tcBorders>
              <w:top w:val="single" w:sz="8" w:color="0000FF"/>
            </w:tcBorders>
            <w:gridSpan w:val="13"/>
          </w:tcPr>
          <w:p>
            <w:pPr>
              <w:spacing w:after="0"/>
              <w:rPr>
                <w:rFonts w:ascii="Arial" w:cs="Arial" w:eastAsia="Arial" w:hAnsi="Arial"/>
                <w:sz w:val="17"/>
                <w:szCs w:val="17"/>
                <w:color w:val="0000FF"/>
              </w:rPr>
            </w:pPr>
            <w:hyperlink r:id="rId222">
              <w:r>
                <w:rPr>
                  <w:rFonts w:ascii="Arial" w:cs="Arial" w:eastAsia="Arial" w:hAnsi="Arial"/>
                  <w:sz w:val="17"/>
                  <w:szCs w:val="17"/>
                  <w:color w:val="0000FF"/>
                </w:rPr>
                <w:t>Offer Letter by and between the Registrant and Elena Ridloff, dated as of August 20, 2021 (Incorporated by reference to</w:t>
              </w:r>
            </w:hyperlink>
          </w:p>
        </w:tc>
        <w:tc>
          <w:tcPr>
            <w:tcW w:w="420" w:type="dxa"/>
            <w:vAlign w:val="bottom"/>
            <w:gridSpan w:val="10"/>
          </w:tcPr>
          <w:p>
            <w:pPr>
              <w:spacing w:after="0"/>
              <w:rPr>
                <w:sz w:val="24"/>
                <w:szCs w:val="24"/>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3"/>
          </w:tcPr>
          <w:p>
            <w:pPr>
              <w:spacing w:after="0" w:line="189" w:lineRule="exact"/>
              <w:rPr>
                <w:rFonts w:ascii="Arial" w:cs="Arial" w:eastAsia="Arial" w:hAnsi="Arial"/>
                <w:sz w:val="17"/>
                <w:szCs w:val="17"/>
                <w:color w:val="0000FF"/>
              </w:rPr>
            </w:pPr>
            <w:hyperlink r:id="rId222">
              <w:r>
                <w:rPr>
                  <w:rFonts w:ascii="Arial" w:cs="Arial" w:eastAsia="Arial" w:hAnsi="Arial"/>
                  <w:sz w:val="17"/>
                  <w:szCs w:val="17"/>
                  <w:color w:val="0000FF"/>
                </w:rPr>
                <w:t>Exhibit 10.14 of the Registrant’s Registration Statement on Form S-1/A (File No. 333-284352) filed on February 3, 2025).</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10.14+</w:t>
            </w:r>
          </w:p>
        </w:tc>
        <w:tc>
          <w:tcPr>
            <w:tcW w:w="100" w:type="dxa"/>
            <w:vAlign w:val="bottom"/>
          </w:tcPr>
          <w:p>
            <w:pPr>
              <w:spacing w:after="0"/>
              <w:rPr>
                <w:sz w:val="24"/>
                <w:szCs w:val="24"/>
                <w:color w:val="auto"/>
              </w:rPr>
            </w:pPr>
          </w:p>
        </w:tc>
        <w:tc>
          <w:tcPr>
            <w:tcW w:w="9580" w:type="dxa"/>
            <w:vAlign w:val="bottom"/>
            <w:tcBorders>
              <w:bottom w:val="single" w:sz="8" w:color="0000FF"/>
            </w:tcBorders>
            <w:gridSpan w:val="20"/>
          </w:tcPr>
          <w:p>
            <w:pPr>
              <w:spacing w:after="0"/>
              <w:rPr>
                <w:rFonts w:ascii="Arial" w:cs="Arial" w:eastAsia="Arial" w:hAnsi="Arial"/>
                <w:sz w:val="17"/>
                <w:szCs w:val="17"/>
                <w:color w:val="0000FF"/>
              </w:rPr>
            </w:pPr>
            <w:hyperlink r:id="rId223">
              <w:r>
                <w:rPr>
                  <w:rFonts w:ascii="Arial" w:cs="Arial" w:eastAsia="Arial" w:hAnsi="Arial"/>
                  <w:sz w:val="17"/>
                  <w:szCs w:val="17"/>
                  <w:color w:val="0000FF"/>
                </w:rPr>
                <w:t>Lease by and between the Registrant and BP3-BOS6 21 Hickory LLC, dated as of May 18, 2022, as amended (Incorporated</w:t>
              </w:r>
            </w:hyperlink>
          </w:p>
        </w:tc>
        <w:tc>
          <w:tcPr>
            <w:tcW w:w="120" w:type="dxa"/>
            <w:vAlign w:val="bottom"/>
            <w:gridSpan w:val="3"/>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20" w:type="dxa"/>
            <w:vAlign w:val="bottom"/>
            <w:tcBorders>
              <w:bottom w:val="single" w:sz="8" w:color="0000FF"/>
            </w:tcBorders>
            <w:gridSpan w:val="10"/>
          </w:tcPr>
          <w:p>
            <w:pPr>
              <w:spacing w:after="0" w:line="189" w:lineRule="exact"/>
              <w:rPr>
                <w:rFonts w:ascii="Arial" w:cs="Arial" w:eastAsia="Arial" w:hAnsi="Arial"/>
                <w:sz w:val="17"/>
                <w:szCs w:val="17"/>
                <w:color w:val="0000FF"/>
              </w:rPr>
            </w:pPr>
            <w:hyperlink r:id="rId223">
              <w:r>
                <w:rPr>
                  <w:rFonts w:ascii="Arial" w:cs="Arial" w:eastAsia="Arial" w:hAnsi="Arial"/>
                  <w:sz w:val="17"/>
                  <w:szCs w:val="17"/>
                  <w:color w:val="0000FF"/>
                </w:rPr>
                <w:t>by reference to Exhibit 10.15 of the Registrant’s Registration Statement on Form S-1/A (File No. 333-284352) filed on</w:t>
              </w:r>
            </w:hyperlink>
          </w:p>
        </w:tc>
        <w:tc>
          <w:tcPr>
            <w:tcW w:w="680" w:type="dxa"/>
            <w:vAlign w:val="bottom"/>
            <w:gridSpan w:val="13"/>
          </w:tcPr>
          <w:p>
            <w:pPr>
              <w:spacing w:after="0"/>
              <w:rPr>
                <w:sz w:val="16"/>
                <w:szCs w:val="16"/>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3"/>
          </w:tcPr>
          <w:p>
            <w:pPr>
              <w:spacing w:after="0" w:line="189" w:lineRule="exact"/>
              <w:rPr>
                <w:rFonts w:ascii="Arial" w:cs="Arial" w:eastAsia="Arial" w:hAnsi="Arial"/>
                <w:sz w:val="17"/>
                <w:szCs w:val="17"/>
                <w:color w:val="0000FF"/>
              </w:rPr>
            </w:pPr>
            <w:hyperlink r:id="rId223">
              <w:r>
                <w:rPr>
                  <w:rFonts w:ascii="Arial" w:cs="Arial" w:eastAsia="Arial" w:hAnsi="Arial"/>
                  <w:sz w:val="17"/>
                  <w:szCs w:val="17"/>
                  <w:color w:val="0000FF"/>
                </w:rPr>
                <w:t>February 3, 2025).</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24"/>
                <w:szCs w:val="24"/>
                <w:color w:val="auto"/>
              </w:rPr>
            </w:pPr>
          </w:p>
        </w:tc>
        <w:tc>
          <w:tcPr>
            <w:tcW w:w="9560" w:type="dxa"/>
            <w:vAlign w:val="bottom"/>
            <w:tcBorders>
              <w:bottom w:val="single" w:sz="8" w:color="0000FF"/>
            </w:tcBorders>
            <w:gridSpan w:val="19"/>
          </w:tcPr>
          <w:p>
            <w:pPr>
              <w:spacing w:after="0"/>
              <w:rPr>
                <w:rFonts w:ascii="Arial" w:cs="Arial" w:eastAsia="Arial" w:hAnsi="Arial"/>
                <w:sz w:val="17"/>
                <w:szCs w:val="17"/>
                <w:color w:val="0000FF"/>
              </w:rPr>
            </w:pPr>
            <w:hyperlink r:id="rId224">
              <w:r>
                <w:rPr>
                  <w:rFonts w:ascii="Arial" w:cs="Arial" w:eastAsia="Arial" w:hAnsi="Arial"/>
                  <w:sz w:val="17"/>
                  <w:szCs w:val="17"/>
                  <w:color w:val="0000FF"/>
                </w:rPr>
                <w:t>Sionna Therapeutics, Inc. Insider Trading Policy (Incorporated by reference to Exhibit 19.1 of the Registrant's Annual Report</w:t>
              </w:r>
            </w:hyperlink>
          </w:p>
        </w:tc>
        <w:tc>
          <w:tcPr>
            <w:tcW w:w="140" w:type="dxa"/>
            <w:vAlign w:val="bottom"/>
            <w:gridSpan w:val="4"/>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3"/>
          </w:tcPr>
          <w:p>
            <w:pPr>
              <w:spacing w:after="0" w:line="189" w:lineRule="exact"/>
              <w:rPr>
                <w:rFonts w:ascii="Arial" w:cs="Arial" w:eastAsia="Arial" w:hAnsi="Arial"/>
                <w:sz w:val="17"/>
                <w:szCs w:val="17"/>
                <w:color w:val="0000FF"/>
              </w:rPr>
            </w:pPr>
            <w:hyperlink r:id="rId224">
              <w:r>
                <w:rPr>
                  <w:rFonts w:ascii="Arial" w:cs="Arial" w:eastAsia="Arial" w:hAnsi="Arial"/>
                  <w:sz w:val="17"/>
                  <w:szCs w:val="17"/>
                  <w:color w:val="0000FF"/>
                </w:rPr>
                <w:t>on Form 10-K (File No. 001-42504) filed on March 20, 2025).</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24"/>
                <w:szCs w:val="24"/>
                <w:color w:val="auto"/>
              </w:rPr>
            </w:pPr>
          </w:p>
        </w:tc>
        <w:tc>
          <w:tcPr>
            <w:tcW w:w="9700" w:type="dxa"/>
            <w:vAlign w:val="bottom"/>
            <w:gridSpan w:val="23"/>
          </w:tcPr>
          <w:p>
            <w:pPr>
              <w:spacing w:after="0"/>
              <w:rPr>
                <w:rFonts w:ascii="Arial" w:cs="Arial" w:eastAsia="Arial" w:hAnsi="Arial"/>
                <w:sz w:val="17"/>
                <w:szCs w:val="17"/>
                <w:color w:val="0000FF"/>
              </w:rPr>
            </w:pPr>
            <w:hyperlink r:id="rId225">
              <w:r>
                <w:rPr>
                  <w:rFonts w:ascii="Arial" w:cs="Arial" w:eastAsia="Arial" w:hAnsi="Arial"/>
                  <w:sz w:val="17"/>
                  <w:szCs w:val="17"/>
                  <w:color w:val="0000FF"/>
                </w:rPr>
                <w:t>Subsidiaries of Registrant (Incorporated by reference to Exhibit 21.1 of the Registrant’s Registration Statement on Form S-1/A</w:t>
              </w:r>
            </w:hyperlink>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tcBorders>
              <w:top w:val="single" w:sz="8" w:color="0000FF"/>
              <w:bottom w:val="single" w:sz="8" w:color="0000FF"/>
            </w:tcBorders>
            <w:gridSpan w:val="3"/>
          </w:tcPr>
          <w:p>
            <w:pPr>
              <w:spacing w:after="0" w:line="189" w:lineRule="exact"/>
              <w:rPr>
                <w:rFonts w:ascii="Arial" w:cs="Arial" w:eastAsia="Arial" w:hAnsi="Arial"/>
                <w:sz w:val="17"/>
                <w:szCs w:val="17"/>
                <w:color w:val="0000FF"/>
              </w:rPr>
            </w:pPr>
            <w:hyperlink r:id="rId225">
              <w:r>
                <w:rPr>
                  <w:rFonts w:ascii="Arial" w:cs="Arial" w:eastAsia="Arial" w:hAnsi="Arial"/>
                  <w:sz w:val="17"/>
                  <w:szCs w:val="17"/>
                  <w:color w:val="0000FF"/>
                </w:rPr>
                <w:t>(File No. 333-284352) filed on February 3, 2025).</w:t>
              </w:r>
            </w:hyperlink>
          </w:p>
        </w:tc>
        <w:tc>
          <w:tcPr>
            <w:tcW w:w="5880" w:type="dxa"/>
            <w:vAlign w:val="bottom"/>
            <w:tcBorders>
              <w:top w:val="single" w:sz="8" w:color="0000FF"/>
            </w:tcBorders>
            <w:gridSpan w:val="19"/>
          </w:tcPr>
          <w:p>
            <w:pPr>
              <w:spacing w:after="0"/>
              <w:rPr>
                <w:sz w:val="16"/>
                <w:szCs w:val="16"/>
                <w:color w:val="auto"/>
              </w:rPr>
            </w:pPr>
          </w:p>
        </w:tc>
        <w:tc>
          <w:tcPr>
            <w:tcW w:w="20" w:type="dxa"/>
            <w:vAlign w:val="bottom"/>
          </w:tcPr>
          <w:p>
            <w:pPr>
              <w:spacing w:after="0"/>
              <w:rPr>
                <w:sz w:val="16"/>
                <w:szCs w:val="16"/>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24"/>
                <w:szCs w:val="24"/>
                <w:color w:val="auto"/>
              </w:rPr>
            </w:pPr>
          </w:p>
        </w:tc>
        <w:tc>
          <w:tcPr>
            <w:tcW w:w="626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Consent of Deloitte &amp; Touche LLP, independent registered public accounting firm.</w:t>
            </w:r>
          </w:p>
        </w:tc>
        <w:tc>
          <w:tcPr>
            <w:tcW w:w="3440" w:type="dxa"/>
            <w:vAlign w:val="bottom"/>
            <w:gridSpan w:val="16"/>
          </w:tcPr>
          <w:p>
            <w:pPr>
              <w:spacing w:after="0"/>
              <w:rPr>
                <w:sz w:val="24"/>
                <w:szCs w:val="24"/>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4"/>
                <w:szCs w:val="24"/>
                <w:color w:val="auto"/>
              </w:rPr>
            </w:pPr>
          </w:p>
        </w:tc>
        <w:tc>
          <w:tcPr>
            <w:tcW w:w="9700" w:type="dxa"/>
            <w:vAlign w:val="bottom"/>
            <w:gridSpan w:val="23"/>
          </w:tcPr>
          <w:p>
            <w:pPr>
              <w:spacing w:after="0"/>
              <w:rPr>
                <w:sz w:val="20"/>
                <w:szCs w:val="20"/>
                <w:color w:val="auto"/>
              </w:rPr>
            </w:pPr>
            <w:r>
              <w:rPr>
                <w:rFonts w:ascii="Arial" w:cs="Arial" w:eastAsia="Arial" w:hAnsi="Arial"/>
                <w:sz w:val="17"/>
                <w:szCs w:val="17"/>
                <w:color w:val="0000FF"/>
              </w:rPr>
              <w:t>Certification of Principal Executive Officer Pursuant to Rules 13a-14(a) and 15d-14(a) under the Securities Exchange Act of</w:t>
            </w: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tcBorders>
              <w:top w:val="single" w:sz="8" w:color="0000FF"/>
              <w:bottom w:val="single" w:sz="8" w:color="0000FF"/>
            </w:tcBorders>
            <w:gridSpan w:val="6"/>
          </w:tcPr>
          <w:p>
            <w:pPr>
              <w:spacing w:after="0" w:line="189"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3440" w:type="dxa"/>
            <w:vAlign w:val="bottom"/>
            <w:tcBorders>
              <w:top w:val="single" w:sz="8" w:color="0000FF"/>
            </w:tcBorders>
            <w:gridSpan w:val="11"/>
          </w:tcPr>
          <w:p>
            <w:pPr>
              <w:spacing w:after="0"/>
              <w:rPr>
                <w:sz w:val="16"/>
                <w:szCs w:val="16"/>
                <w:color w:val="auto"/>
              </w:rPr>
            </w:pPr>
          </w:p>
        </w:tc>
        <w:tc>
          <w:tcPr>
            <w:tcW w:w="220" w:type="dxa"/>
            <w:vAlign w:val="bottom"/>
            <w:gridSpan w:val="6"/>
          </w:tcPr>
          <w:p>
            <w:pPr>
              <w:spacing w:after="0"/>
              <w:rPr>
                <w:sz w:val="16"/>
                <w:szCs w:val="16"/>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4"/>
                <w:szCs w:val="24"/>
                <w:color w:val="auto"/>
              </w:rPr>
            </w:pPr>
          </w:p>
        </w:tc>
        <w:tc>
          <w:tcPr>
            <w:tcW w:w="9700" w:type="dxa"/>
            <w:vAlign w:val="bottom"/>
            <w:gridSpan w:val="23"/>
          </w:tcPr>
          <w:p>
            <w:pPr>
              <w:spacing w:after="0"/>
              <w:rPr>
                <w:sz w:val="20"/>
                <w:szCs w:val="20"/>
                <w:color w:val="auto"/>
              </w:rPr>
            </w:pPr>
            <w:r>
              <w:rPr>
                <w:rFonts w:ascii="Arial" w:cs="Arial" w:eastAsia="Arial" w:hAnsi="Arial"/>
                <w:sz w:val="17"/>
                <w:szCs w:val="17"/>
                <w:color w:val="0000FF"/>
              </w:rPr>
              <w:t>Certification of Principal Financial Officer Pursuant to Rules 13a-14(a) and 15d-14(a) under the Securities Exchange Act of</w:t>
            </w: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tcBorders>
              <w:top w:val="single" w:sz="8" w:color="0000FF"/>
              <w:bottom w:val="single" w:sz="8" w:color="0000FF"/>
            </w:tcBorders>
            <w:gridSpan w:val="6"/>
          </w:tcPr>
          <w:p>
            <w:pPr>
              <w:spacing w:after="0" w:line="189"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3380" w:type="dxa"/>
            <w:vAlign w:val="bottom"/>
            <w:tcBorders>
              <w:top w:val="single" w:sz="8" w:color="0000FF"/>
            </w:tcBorders>
            <w:gridSpan w:val="10"/>
          </w:tcPr>
          <w:p>
            <w:pPr>
              <w:spacing w:after="0"/>
              <w:rPr>
                <w:sz w:val="16"/>
                <w:szCs w:val="16"/>
                <w:color w:val="auto"/>
              </w:rPr>
            </w:pPr>
          </w:p>
        </w:tc>
        <w:tc>
          <w:tcPr>
            <w:tcW w:w="280" w:type="dxa"/>
            <w:vAlign w:val="bottom"/>
            <w:gridSpan w:val="7"/>
          </w:tcPr>
          <w:p>
            <w:pPr>
              <w:spacing w:after="0"/>
              <w:rPr>
                <w:sz w:val="16"/>
                <w:szCs w:val="16"/>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24"/>
                <w:szCs w:val="24"/>
                <w:color w:val="auto"/>
              </w:rPr>
            </w:pPr>
          </w:p>
        </w:tc>
        <w:tc>
          <w:tcPr>
            <w:tcW w:w="934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rPr>
              <w:t>Certification of Principal Executive Officer and Principal Financial Officer Pursuant to 18 U.S.C. Section 1350, as Adopted</w:t>
            </w:r>
          </w:p>
        </w:tc>
        <w:tc>
          <w:tcPr>
            <w:tcW w:w="360" w:type="dxa"/>
            <w:vAlign w:val="bottom"/>
            <w:gridSpan w:val="9"/>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gridSpan w:val="23"/>
          </w:tcPr>
          <w:p>
            <w:pPr>
              <w:spacing w:after="0" w:line="189" w:lineRule="exact"/>
              <w:rPr>
                <w:sz w:val="20"/>
                <w:szCs w:val="20"/>
                <w:color w:val="auto"/>
              </w:rPr>
            </w:pPr>
            <w:r>
              <w:rPr>
                <w:rFonts w:ascii="Arial" w:cs="Arial" w:eastAsia="Arial" w:hAnsi="Arial"/>
                <w:sz w:val="17"/>
                <w:szCs w:val="17"/>
                <w:color w:val="0000FF"/>
              </w:rPr>
              <w:t>Pursuant to Section 906 of the Sarbanes-Oxley Act of 2002.</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20" w:type="dxa"/>
            <w:vAlign w:val="bottom"/>
            <w:gridSpan w:val="1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3"/>
        </w:trPr>
        <w:tc>
          <w:tcPr>
            <w:tcW w:w="1440" w:type="dxa"/>
            <w:vAlign w:val="bottom"/>
          </w:tcPr>
          <w:p>
            <w:pPr>
              <w:ind w:left="20"/>
              <w:spacing w:after="0"/>
              <w:rPr>
                <w:sz w:val="20"/>
                <w:szCs w:val="20"/>
                <w:color w:val="auto"/>
              </w:rPr>
            </w:pPr>
            <w:r>
              <w:rPr>
                <w:rFonts w:ascii="Arial" w:cs="Arial" w:eastAsia="Arial" w:hAnsi="Arial"/>
                <w:sz w:val="17"/>
                <w:szCs w:val="17"/>
                <w:color w:val="auto"/>
              </w:rPr>
              <w:t>97.1</w:t>
            </w:r>
          </w:p>
        </w:tc>
        <w:tc>
          <w:tcPr>
            <w:tcW w:w="100" w:type="dxa"/>
            <w:vAlign w:val="bottom"/>
          </w:tcPr>
          <w:p>
            <w:pPr>
              <w:spacing w:after="0"/>
              <w:rPr>
                <w:sz w:val="24"/>
                <w:szCs w:val="24"/>
                <w:color w:val="auto"/>
              </w:rPr>
            </w:pPr>
          </w:p>
        </w:tc>
        <w:tc>
          <w:tcPr>
            <w:tcW w:w="9640" w:type="dxa"/>
            <w:vAlign w:val="bottom"/>
            <w:tcBorders>
              <w:bottom w:val="single" w:sz="8" w:color="0000FF"/>
            </w:tcBorders>
            <w:gridSpan w:val="21"/>
          </w:tcPr>
          <w:p>
            <w:pPr>
              <w:spacing w:after="0"/>
              <w:rPr>
                <w:rFonts w:ascii="Arial" w:cs="Arial" w:eastAsia="Arial" w:hAnsi="Arial"/>
                <w:sz w:val="17"/>
                <w:szCs w:val="17"/>
                <w:color w:val="0000FF"/>
              </w:rPr>
            </w:pPr>
            <w:hyperlink r:id="rId226">
              <w:r>
                <w:rPr>
                  <w:rFonts w:ascii="Arial" w:cs="Arial" w:eastAsia="Arial" w:hAnsi="Arial"/>
                  <w:sz w:val="17"/>
                  <w:szCs w:val="17"/>
                  <w:color w:val="0000FF"/>
                </w:rPr>
                <w:t>Compensation Recovery Policy (Incorporated by reference to Exhibit 10.8 of the Registrant’s Registration Statement on Form</w:t>
              </w:r>
            </w:hyperlink>
          </w:p>
        </w:tc>
        <w:tc>
          <w:tcPr>
            <w:tcW w:w="60" w:type="dxa"/>
            <w:vAlign w:val="bottom"/>
            <w:gridSpan w:val="2"/>
          </w:tcPr>
          <w:p>
            <w:pPr>
              <w:spacing w:after="0"/>
              <w:rPr>
                <w:sz w:val="24"/>
                <w:szCs w:val="24"/>
                <w:color w:val="auto"/>
              </w:rPr>
            </w:pPr>
          </w:p>
        </w:tc>
      </w:tr>
      <w:tr>
        <w:trPr>
          <w:trHeight w:val="189"/>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Borders>
              <w:bottom w:val="single" w:sz="8" w:color="0000FF"/>
            </w:tcBorders>
            <w:gridSpan w:val="4"/>
          </w:tcPr>
          <w:p>
            <w:pPr>
              <w:spacing w:after="0" w:line="189" w:lineRule="exact"/>
              <w:rPr>
                <w:rFonts w:ascii="Arial" w:cs="Arial" w:eastAsia="Arial" w:hAnsi="Arial"/>
                <w:sz w:val="17"/>
                <w:szCs w:val="17"/>
                <w:color w:val="0000FF"/>
              </w:rPr>
            </w:pPr>
            <w:hyperlink r:id="rId226">
              <w:r>
                <w:rPr>
                  <w:rFonts w:ascii="Arial" w:cs="Arial" w:eastAsia="Arial" w:hAnsi="Arial"/>
                  <w:sz w:val="17"/>
                  <w:szCs w:val="17"/>
                  <w:color w:val="0000FF"/>
                </w:rPr>
                <w:t>S-1/A (File No. 333-284352) filed on February 3, 2025).</w:t>
              </w:r>
            </w:hyperlink>
          </w:p>
        </w:tc>
        <w:tc>
          <w:tcPr>
            <w:tcW w:w="5420" w:type="dxa"/>
            <w:vAlign w:val="bottom"/>
            <w:gridSpan w:val="19"/>
          </w:tcPr>
          <w:p>
            <w:pPr>
              <w:spacing w:after="0"/>
              <w:rPr>
                <w:sz w:val="16"/>
                <w:szCs w:val="16"/>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____________</w:t>
      </w:r>
    </w:p>
    <w:p>
      <w:pPr>
        <w:spacing w:after="0" w:line="29" w:lineRule="exact"/>
        <w:rPr>
          <w:sz w:val="20"/>
          <w:szCs w:val="20"/>
          <w:color w:val="auto"/>
        </w:rPr>
      </w:pPr>
    </w:p>
    <w:p>
      <w:pPr>
        <w:ind w:left="620" w:hanging="381"/>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Filed herewith.</w:t>
      </w:r>
    </w:p>
    <w:p>
      <w:pPr>
        <w:ind w:left="640" w:right="40" w:hanging="401"/>
        <w:spacing w:after="0"/>
        <w:tabs>
          <w:tab w:leader="none" w:pos="63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certification furnished in Exhibit 32.1 hereto is deemed to be furnished with this Annual Report and will not be deemed to be “filed” for purposes of Section 18 of the Securities Exchange Act of 1934, as amended, except to the extent that the Registrant specifically incorporates it by reference.</w:t>
      </w:r>
    </w:p>
    <w:p>
      <w:pPr>
        <w:spacing w:after="0" w:line="1" w:lineRule="exact"/>
        <w:rPr>
          <w:sz w:val="20"/>
          <w:szCs w:val="20"/>
          <w:color w:val="auto"/>
        </w:rPr>
      </w:pPr>
    </w:p>
    <w:p>
      <w:pPr>
        <w:ind w:left="620" w:hanging="381"/>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13" w:lineRule="exact"/>
        <w:rPr>
          <w:sz w:val="20"/>
          <w:szCs w:val="20"/>
          <w:color w:val="auto"/>
        </w:rPr>
      </w:pPr>
    </w:p>
    <w:p>
      <w:pPr>
        <w:ind w:left="640" w:right="40" w:hanging="401"/>
        <w:spacing w:after="0" w:line="256" w:lineRule="auto"/>
        <w:tabs>
          <w:tab w:leader="none" w:pos="632" w:val="left"/>
        </w:tabs>
        <w:numPr>
          <w:ilvl w:val="0"/>
          <w:numId w:val="71"/>
        </w:numPr>
        <w:rPr>
          <w:rFonts w:ascii="Arial" w:cs="Arial" w:eastAsia="Arial" w:hAnsi="Arial"/>
          <w:sz w:val="17"/>
          <w:szCs w:val="17"/>
          <w:color w:val="auto"/>
        </w:rPr>
      </w:pPr>
      <w:r>
        <w:rPr>
          <w:rFonts w:ascii="Arial" w:cs="Arial" w:eastAsia="Arial" w:hAnsi="Arial"/>
          <w:sz w:val="17"/>
          <w:szCs w:val="17"/>
          <w:color w:val="auto"/>
        </w:rPr>
        <w:t>Certain portions of this document that constitute confidential information have been redacted pursuant to Item 601(b)(10) of Regulation S-K.</w:t>
      </w:r>
    </w:p>
    <w:p>
      <w:pPr>
        <w:spacing w:after="0" w:line="209" w:lineRule="exact"/>
        <w:rPr>
          <w:sz w:val="20"/>
          <w:szCs w:val="20"/>
          <w:color w:val="auto"/>
        </w:rPr>
      </w:pPr>
    </w:p>
    <w:p>
      <w:pPr>
        <w:ind w:left="640" w:right="660" w:hanging="401"/>
        <w:spacing w:after="0" w:line="278" w:lineRule="auto"/>
        <w:tabs>
          <w:tab w:leader="none" w:pos="637" w:val="left"/>
        </w:tabs>
        <w:numPr>
          <w:ilvl w:val="1"/>
          <w:numId w:val="72"/>
        </w:numPr>
        <w:rPr>
          <w:rFonts w:ascii="Arial" w:cs="Arial" w:eastAsia="Arial" w:hAnsi="Arial"/>
          <w:sz w:val="17"/>
          <w:szCs w:val="17"/>
          <w:color w:val="auto"/>
        </w:rPr>
      </w:pPr>
      <w:r>
        <w:rPr>
          <w:rFonts w:ascii="Arial" w:cs="Arial" w:eastAsia="Arial" w:hAnsi="Arial"/>
          <w:sz w:val="17"/>
          <w:szCs w:val="17"/>
          <w:color w:val="auto"/>
        </w:rPr>
        <w:t>Certain exhibits and schedules to these agreements have been omitted pursuant to Item 601(a)(5) and (6) of Regulation S-K. The registrant will furnish copies of any of the exhibits and schedules to the Securities and Exchange Commission upon request.</w:t>
      </w:r>
    </w:p>
    <w:p>
      <w:pPr>
        <w:spacing w:after="0" w:line="155" w:lineRule="exact"/>
        <w:rPr>
          <w:rFonts w:ascii="Arial" w:cs="Arial" w:eastAsia="Arial" w:hAnsi="Arial"/>
          <w:sz w:val="17"/>
          <w:szCs w:val="17"/>
          <w:color w:val="auto"/>
        </w:rPr>
      </w:pPr>
    </w:p>
    <w:p>
      <w:pPr>
        <w:ind w:left="260" w:hanging="256"/>
        <w:spacing w:after="0"/>
        <w:tabs>
          <w:tab w:leader="none" w:pos="26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Schedules</w:t>
      </w:r>
    </w:p>
    <w:p>
      <w:pPr>
        <w:spacing w:after="0" w:line="211" w:lineRule="exact"/>
        <w:rPr>
          <w:sz w:val="20"/>
          <w:szCs w:val="20"/>
          <w:color w:val="auto"/>
        </w:rPr>
      </w:pPr>
    </w:p>
    <w:p>
      <w:pPr>
        <w:ind w:right="180" w:firstLine="627"/>
        <w:spacing w:after="0" w:line="282" w:lineRule="auto"/>
        <w:rPr>
          <w:sz w:val="20"/>
          <w:szCs w:val="20"/>
          <w:color w:val="auto"/>
        </w:rPr>
      </w:pPr>
      <w:r>
        <w:rPr>
          <w:rFonts w:ascii="Arial" w:cs="Arial" w:eastAsia="Arial" w:hAnsi="Arial"/>
          <w:sz w:val="17"/>
          <w:szCs w:val="17"/>
          <w:color w:val="auto"/>
        </w:rPr>
        <w:t>No financial statements have been submitted because they are not required or are not applicable or because the information required is included in the consolidated financial statements or the notes thereto.</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88"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205740</wp:posOffset>
            </wp:positionV>
            <wp:extent cx="716216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17"/>
          <w:szCs w:val="17"/>
          <w:b w:val="1"/>
          <w:bCs w:val="1"/>
          <w:color w:val="auto"/>
        </w:rPr>
        <w:t>SIGNATURES</w:t>
      </w:r>
    </w:p>
    <w:p>
      <w:pPr>
        <w:spacing w:after="0" w:line="107" w:lineRule="exact"/>
        <w:rPr>
          <w:sz w:val="20"/>
          <w:szCs w:val="20"/>
          <w:color w:val="auto"/>
        </w:rPr>
      </w:pPr>
    </w:p>
    <w:p>
      <w:pPr>
        <w:ind w:right="160" w:firstLine="392"/>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ind w:left="5940"/>
        <w:spacing w:after="0"/>
        <w:rPr>
          <w:sz w:val="20"/>
          <w:szCs w:val="20"/>
          <w:color w:val="auto"/>
        </w:rPr>
      </w:pPr>
      <w:r>
        <w:rPr>
          <w:rFonts w:ascii="Arial" w:cs="Arial" w:eastAsia="Arial" w:hAnsi="Arial"/>
          <w:sz w:val="17"/>
          <w:szCs w:val="17"/>
          <w:b w:val="1"/>
          <w:bCs w:val="1"/>
          <w:color w:val="auto"/>
        </w:rPr>
        <w:t>SIONNA THERAPEUTICS, INC.</w:t>
      </w:r>
    </w:p>
    <w:p>
      <w:pPr>
        <w:spacing w:after="0" w:line="329" w:lineRule="exact"/>
        <w:rPr>
          <w:sz w:val="20"/>
          <w:szCs w:val="20"/>
          <w:color w:val="auto"/>
        </w:rPr>
      </w:pPr>
    </w:p>
    <w:tbl>
      <w:tblPr>
        <w:tblLayout w:type="fixed"/>
        <w:tblInd w:w="5940" w:type="dxa"/>
        <w:tblCellMar>
          <w:top w:w="0" w:type="dxa"/>
          <w:left w:w="0" w:type="dxa"/>
          <w:bottom w:w="0" w:type="dxa"/>
          <w:right w:w="0" w:type="dxa"/>
        </w:tblCellMar>
      </w:tblPr>
      <w:tr>
        <w:trPr>
          <w:trHeight w:val="229"/>
        </w:trPr>
        <w:tc>
          <w:tcPr>
            <w:tcW w:w="660" w:type="dxa"/>
            <w:vAlign w:val="bottom"/>
          </w:tcPr>
          <w:p>
            <w:pPr>
              <w:spacing w:after="0"/>
              <w:rPr>
                <w:sz w:val="20"/>
                <w:szCs w:val="20"/>
                <w:color w:val="auto"/>
              </w:rPr>
            </w:pPr>
            <w:r>
              <w:rPr>
                <w:rFonts w:ascii="Arial" w:cs="Arial" w:eastAsia="Arial" w:hAnsi="Arial"/>
                <w:sz w:val="17"/>
                <w:szCs w:val="17"/>
                <w:color w:val="auto"/>
              </w:rPr>
              <w:t>By:</w:t>
            </w:r>
          </w:p>
        </w:tc>
        <w:tc>
          <w:tcPr>
            <w:tcW w:w="680" w:type="dxa"/>
            <w:vAlign w:val="bottom"/>
          </w:tcPr>
          <w:p>
            <w:pPr>
              <w:ind w:left="20"/>
              <w:spacing w:after="0"/>
              <w:rPr>
                <w:sz w:val="20"/>
                <w:szCs w:val="20"/>
                <w:color w:val="auto"/>
              </w:rPr>
            </w:pPr>
            <w:r>
              <w:rPr>
                <w:rFonts w:ascii="Arial" w:cs="Arial" w:eastAsia="Arial" w:hAnsi="Arial"/>
                <w:sz w:val="17"/>
                <w:szCs w:val="17"/>
                <w:color w:val="auto"/>
              </w:rPr>
              <w:t>/s/</w:t>
            </w:r>
          </w:p>
        </w:tc>
        <w:tc>
          <w:tcPr>
            <w:tcW w:w="3960" w:type="dxa"/>
            <w:vAlign w:val="bottom"/>
          </w:tcPr>
          <w:p>
            <w:pPr>
              <w:ind w:left="140"/>
              <w:spacing w:after="0"/>
              <w:rPr>
                <w:sz w:val="20"/>
                <w:szCs w:val="20"/>
                <w:color w:val="auto"/>
              </w:rPr>
            </w:pPr>
            <w:r>
              <w:rPr>
                <w:rFonts w:ascii="Arial" w:cs="Arial" w:eastAsia="Arial" w:hAnsi="Arial"/>
                <w:sz w:val="17"/>
                <w:szCs w:val="17"/>
                <w:color w:val="auto"/>
              </w:rPr>
              <w:t>Michael Cloonan</w:t>
            </w:r>
          </w:p>
        </w:tc>
      </w:tr>
      <w:tr>
        <w:trPr>
          <w:trHeight w:val="22"/>
        </w:trPr>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r>
      <w:tr>
        <w:trPr>
          <w:trHeight w:val="232"/>
        </w:trPr>
        <w:tc>
          <w:tcPr>
            <w:tcW w:w="66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7"/>
                <w:szCs w:val="17"/>
                <w:color w:val="auto"/>
              </w:rPr>
              <w:t>Name:</w:t>
            </w:r>
          </w:p>
        </w:tc>
        <w:tc>
          <w:tcPr>
            <w:tcW w:w="3960" w:type="dxa"/>
            <w:vAlign w:val="bottom"/>
          </w:tcPr>
          <w:p>
            <w:pPr>
              <w:ind w:left="140"/>
              <w:spacing w:after="0"/>
              <w:rPr>
                <w:sz w:val="20"/>
                <w:szCs w:val="20"/>
                <w:color w:val="auto"/>
              </w:rPr>
            </w:pPr>
            <w:r>
              <w:rPr>
                <w:rFonts w:ascii="Arial" w:cs="Arial" w:eastAsia="Arial" w:hAnsi="Arial"/>
                <w:sz w:val="17"/>
                <w:szCs w:val="17"/>
                <w:color w:val="auto"/>
              </w:rPr>
              <w:t>Michael Cloonan, M.B.A.</w:t>
            </w:r>
          </w:p>
        </w:tc>
      </w:tr>
      <w:tr>
        <w:trPr>
          <w:trHeight w:val="261"/>
        </w:trPr>
        <w:tc>
          <w:tcPr>
            <w:tcW w:w="660" w:type="dxa"/>
            <w:vAlign w:val="bottom"/>
          </w:tcPr>
          <w:p>
            <w:pPr>
              <w:spacing w:after="0"/>
              <w:rPr>
                <w:sz w:val="22"/>
                <w:szCs w:val="22"/>
                <w:color w:val="auto"/>
              </w:rPr>
            </w:pPr>
          </w:p>
        </w:tc>
        <w:tc>
          <w:tcPr>
            <w:tcW w:w="680" w:type="dxa"/>
            <w:vAlign w:val="bottom"/>
          </w:tcPr>
          <w:p>
            <w:pPr>
              <w:ind w:left="20"/>
              <w:spacing w:after="0"/>
              <w:rPr>
                <w:sz w:val="20"/>
                <w:szCs w:val="20"/>
                <w:color w:val="auto"/>
              </w:rPr>
            </w:pPr>
            <w:r>
              <w:rPr>
                <w:rFonts w:ascii="Arial" w:cs="Arial" w:eastAsia="Arial" w:hAnsi="Arial"/>
                <w:sz w:val="17"/>
                <w:szCs w:val="17"/>
                <w:color w:val="auto"/>
              </w:rPr>
              <w:t>Title:</w:t>
            </w:r>
          </w:p>
        </w:tc>
        <w:tc>
          <w:tcPr>
            <w:tcW w:w="3960" w:type="dxa"/>
            <w:vAlign w:val="bottom"/>
          </w:tcPr>
          <w:p>
            <w:pPr>
              <w:ind w:left="140"/>
              <w:spacing w:after="0"/>
              <w:rPr>
                <w:sz w:val="20"/>
                <w:szCs w:val="20"/>
                <w:color w:val="auto"/>
              </w:rPr>
            </w:pPr>
            <w:r>
              <w:rPr>
                <w:rFonts w:ascii="Arial" w:cs="Arial" w:eastAsia="Arial" w:hAnsi="Arial"/>
                <w:sz w:val="17"/>
                <w:szCs w:val="17"/>
                <w:color w:val="auto"/>
              </w:rPr>
              <w:t>President and Chief Executive Officer</w:t>
            </w: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 AND SIGNATURES</w:t>
      </w:r>
    </w:p>
    <w:p>
      <w:pPr>
        <w:spacing w:after="0" w:line="224" w:lineRule="exact"/>
        <w:rPr>
          <w:sz w:val="20"/>
          <w:szCs w:val="20"/>
          <w:color w:val="auto"/>
        </w:rPr>
      </w:pPr>
    </w:p>
    <w:p>
      <w:pPr>
        <w:ind w:firstLine="392"/>
        <w:spacing w:after="0" w:line="263" w:lineRule="auto"/>
        <w:rPr>
          <w:sz w:val="20"/>
          <w:szCs w:val="20"/>
          <w:color w:val="auto"/>
        </w:rPr>
      </w:pPr>
      <w:r>
        <w:rPr>
          <w:rFonts w:ascii="Arial" w:cs="Arial" w:eastAsia="Arial" w:hAnsi="Arial"/>
          <w:sz w:val="17"/>
          <w:szCs w:val="17"/>
          <w:color w:val="auto"/>
        </w:rPr>
        <w:t>Each individual whose signature appears below hereby constitutes and appoints Michael Cloonan, M.B.A., and Elena Ridloff, C.F.A., as such person’s true and lawful attorney-in-fact and agent with full power of substitution and resubstitution, for such person in such person’s name, place and stead, in any and all capacities, to sign any and all amendments (including post-effective amendments) to this Annual Report on Form 10-K,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71" w:lineRule="exact"/>
        <w:rPr>
          <w:sz w:val="20"/>
          <w:szCs w:val="20"/>
          <w:color w:val="auto"/>
        </w:rPr>
      </w:pPr>
    </w:p>
    <w:p>
      <w:pPr>
        <w:ind w:right="20" w:firstLine="392"/>
        <w:spacing w:after="0" w:line="298" w:lineRule="auto"/>
        <w:rPr>
          <w:sz w:val="20"/>
          <w:szCs w:val="20"/>
          <w:color w:val="auto"/>
        </w:rPr>
      </w:pPr>
      <w:r>
        <w:rPr>
          <w:rFonts w:ascii="Arial" w:cs="Arial" w:eastAsia="Arial" w:hAnsi="Arial"/>
          <w:sz w:val="17"/>
          <w:szCs w:val="17"/>
          <w:color w:val="auto"/>
        </w:rPr>
        <w:t>Pursuant to the requirements of the Securities Exchange Act of 1934, as amended, this report and Power of Attorney has been signed by the following person in the capacities and on the date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2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7"/>
                <w:szCs w:val="17"/>
                <w:color w:val="auto"/>
              </w:rPr>
            </w:pPr>
          </w:p>
        </w:tc>
        <w:tc>
          <w:tcPr>
            <w:tcW w:w="42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7"/>
                <w:szCs w:val="17"/>
                <w:color w:val="auto"/>
              </w:rPr>
            </w:pPr>
          </w:p>
        </w:tc>
        <w:tc>
          <w:tcPr>
            <w:tcW w:w="22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66"/>
        </w:trPr>
        <w:tc>
          <w:tcPr>
            <w:tcW w:w="4520" w:type="dxa"/>
            <w:vAlign w:val="bottom"/>
          </w:tcPr>
          <w:p>
            <w:pPr>
              <w:ind w:left="20"/>
              <w:spacing w:after="0"/>
              <w:rPr>
                <w:sz w:val="20"/>
                <w:szCs w:val="20"/>
                <w:color w:val="auto"/>
              </w:rPr>
            </w:pPr>
            <w:r>
              <w:rPr>
                <w:rFonts w:ascii="Arial" w:cs="Arial" w:eastAsia="Arial" w:hAnsi="Arial"/>
                <w:sz w:val="17"/>
                <w:szCs w:val="17"/>
                <w:color w:val="auto"/>
              </w:rPr>
              <w:t>/s/ Michael Cloonan</w:t>
            </w:r>
          </w:p>
        </w:tc>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Director</w:t>
            </w:r>
          </w:p>
        </w:tc>
        <w:tc>
          <w:tcPr>
            <w:tcW w:w="2240" w:type="dxa"/>
            <w:vAlign w:val="bottom"/>
          </w:tcPr>
          <w:p>
            <w:pPr>
              <w:ind w:left="1120"/>
              <w:spacing w:after="0"/>
              <w:rPr>
                <w:sz w:val="20"/>
                <w:szCs w:val="20"/>
                <w:color w:val="auto"/>
              </w:rPr>
            </w:pPr>
            <w:r>
              <w:rPr>
                <w:rFonts w:ascii="Arial" w:cs="Arial" w:eastAsia="Arial" w:hAnsi="Arial"/>
                <w:sz w:val="17"/>
                <w:szCs w:val="17"/>
                <w:color w:val="auto"/>
              </w:rPr>
              <w:t>March 2, 2026</w:t>
            </w:r>
          </w:p>
        </w:tc>
        <w:tc>
          <w:tcPr>
            <w:tcW w:w="0" w:type="dxa"/>
            <w:vAlign w:val="bottom"/>
          </w:tcPr>
          <w:p>
            <w:pPr>
              <w:spacing w:after="0"/>
              <w:rPr>
                <w:sz w:val="1"/>
                <w:szCs w:val="1"/>
                <w:color w:val="auto"/>
              </w:rPr>
            </w:pPr>
          </w:p>
        </w:tc>
      </w:tr>
      <w:tr>
        <w:trPr>
          <w:trHeight w:val="43"/>
        </w:trPr>
        <w:tc>
          <w:tcPr>
            <w:tcW w:w="45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80" w:type="dxa"/>
            <w:vAlign w:val="bottom"/>
            <w:gridSpan w:val="2"/>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520" w:type="dxa"/>
            <w:vAlign w:val="bottom"/>
            <w:vMerge w:val="restart"/>
          </w:tcPr>
          <w:p>
            <w:pPr>
              <w:ind w:left="20"/>
              <w:spacing w:after="0"/>
              <w:rPr>
                <w:sz w:val="20"/>
                <w:szCs w:val="20"/>
                <w:color w:val="auto"/>
              </w:rPr>
            </w:pPr>
            <w:r>
              <w:rPr>
                <w:rFonts w:ascii="Arial" w:cs="Arial" w:eastAsia="Arial" w:hAnsi="Arial"/>
                <w:sz w:val="17"/>
                <w:szCs w:val="17"/>
                <w:color w:val="auto"/>
              </w:rPr>
              <w:t>Michael Cloonan, M.B.A.</w:t>
            </w:r>
          </w:p>
        </w:tc>
        <w:tc>
          <w:tcPr>
            <w:tcW w:w="100" w:type="dxa"/>
            <w:vAlign w:val="bottom"/>
            <w:vMerge w:val="continue"/>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4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2"/>
        </w:trPr>
        <w:tc>
          <w:tcPr>
            <w:tcW w:w="4520" w:type="dxa"/>
            <w:vAlign w:val="bottom"/>
          </w:tcPr>
          <w:p>
            <w:pPr>
              <w:ind w:left="20"/>
              <w:spacing w:after="0"/>
              <w:rPr>
                <w:sz w:val="20"/>
                <w:szCs w:val="20"/>
                <w:color w:val="auto"/>
              </w:rPr>
            </w:pPr>
            <w:r>
              <w:rPr>
                <w:rFonts w:ascii="Arial" w:cs="Arial" w:eastAsia="Arial" w:hAnsi="Arial"/>
                <w:sz w:val="17"/>
                <w:szCs w:val="17"/>
                <w:color w:val="auto"/>
              </w:rPr>
              <w:t>/s/ Elena Ridloff</w:t>
            </w:r>
          </w:p>
        </w:tc>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Chief Financial Officer (</w:t>
            </w:r>
            <w:r>
              <w:rPr>
                <w:rFonts w:ascii="Arial" w:cs="Arial" w:eastAsia="Arial" w:hAnsi="Arial"/>
                <w:sz w:val="17"/>
                <w:szCs w:val="17"/>
                <w:i w:val="1"/>
                <w:iCs w:val="1"/>
                <w:color w:val="auto"/>
              </w:rPr>
              <w:t>Principal Financial Officer and</w:t>
            </w:r>
          </w:p>
        </w:tc>
        <w:tc>
          <w:tcPr>
            <w:tcW w:w="2240" w:type="dxa"/>
            <w:vAlign w:val="bottom"/>
          </w:tcPr>
          <w:p>
            <w:pPr>
              <w:ind w:left="1120"/>
              <w:spacing w:after="0"/>
              <w:rPr>
                <w:sz w:val="20"/>
                <w:szCs w:val="20"/>
                <w:color w:val="auto"/>
              </w:rPr>
            </w:pPr>
            <w:r>
              <w:rPr>
                <w:rFonts w:ascii="Arial" w:cs="Arial" w:eastAsia="Arial" w:hAnsi="Arial"/>
                <w:sz w:val="17"/>
                <w:szCs w:val="17"/>
                <w:color w:val="auto"/>
              </w:rPr>
              <w:t>March 2, 2026</w:t>
            </w:r>
          </w:p>
        </w:tc>
        <w:tc>
          <w:tcPr>
            <w:tcW w:w="0" w:type="dxa"/>
            <w:vAlign w:val="bottom"/>
          </w:tcPr>
          <w:p>
            <w:pPr>
              <w:spacing w:after="0"/>
              <w:rPr>
                <w:sz w:val="1"/>
                <w:szCs w:val="1"/>
                <w:color w:val="auto"/>
              </w:rPr>
            </w:pPr>
          </w:p>
        </w:tc>
      </w:tr>
      <w:tr>
        <w:trPr>
          <w:trHeight w:val="43"/>
        </w:trPr>
        <w:tc>
          <w:tcPr>
            <w:tcW w:w="45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38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Principal Accounting Officer</w:t>
            </w:r>
            <w:r>
              <w:rPr>
                <w:rFonts w:ascii="Arial" w:cs="Arial" w:eastAsia="Arial" w:hAnsi="Arial"/>
                <w:sz w:val="17"/>
                <w:szCs w:val="17"/>
                <w:color w:val="auto"/>
              </w:rPr>
              <w:t>)</w:t>
            </w: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520" w:type="dxa"/>
            <w:vAlign w:val="bottom"/>
            <w:vMerge w:val="restart"/>
          </w:tcPr>
          <w:p>
            <w:pPr>
              <w:ind w:left="20"/>
              <w:spacing w:after="0"/>
              <w:rPr>
                <w:sz w:val="20"/>
                <w:szCs w:val="20"/>
                <w:color w:val="auto"/>
              </w:rPr>
            </w:pPr>
            <w:r>
              <w:rPr>
                <w:rFonts w:ascii="Arial" w:cs="Arial" w:eastAsia="Arial" w:hAnsi="Arial"/>
                <w:sz w:val="17"/>
                <w:szCs w:val="17"/>
                <w:color w:val="auto"/>
              </w:rPr>
              <w:t>Elena Ridloff, C.F.A.</w:t>
            </w:r>
          </w:p>
        </w:tc>
        <w:tc>
          <w:tcPr>
            <w:tcW w:w="100" w:type="dxa"/>
            <w:vAlign w:val="bottom"/>
            <w:vMerge w:val="continue"/>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4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3"/>
        </w:trPr>
        <w:tc>
          <w:tcPr>
            <w:tcW w:w="4520" w:type="dxa"/>
            <w:vAlign w:val="bottom"/>
          </w:tcPr>
          <w:p>
            <w:pPr>
              <w:ind w:left="20"/>
              <w:spacing w:after="0"/>
              <w:rPr>
                <w:sz w:val="20"/>
                <w:szCs w:val="20"/>
                <w:color w:val="auto"/>
              </w:rPr>
            </w:pPr>
            <w:r>
              <w:rPr>
                <w:rFonts w:ascii="Arial" w:cs="Arial" w:eastAsia="Arial" w:hAnsi="Arial"/>
                <w:sz w:val="17"/>
                <w:szCs w:val="17"/>
                <w:color w:val="auto"/>
              </w:rPr>
              <w:t>/s/ Paul Clancy</w:t>
            </w:r>
          </w:p>
        </w:tc>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Chair of the Board of Directors</w:t>
            </w:r>
          </w:p>
        </w:tc>
        <w:tc>
          <w:tcPr>
            <w:tcW w:w="2240" w:type="dxa"/>
            <w:vAlign w:val="bottom"/>
          </w:tcPr>
          <w:p>
            <w:pPr>
              <w:ind w:left="1120"/>
              <w:spacing w:after="0"/>
              <w:rPr>
                <w:sz w:val="20"/>
                <w:szCs w:val="20"/>
                <w:color w:val="auto"/>
              </w:rPr>
            </w:pPr>
            <w:r>
              <w:rPr>
                <w:rFonts w:ascii="Arial" w:cs="Arial" w:eastAsia="Arial" w:hAnsi="Arial"/>
                <w:sz w:val="17"/>
                <w:szCs w:val="17"/>
                <w:color w:val="auto"/>
              </w:rPr>
              <w:t>March 2, 2026</w:t>
            </w:r>
          </w:p>
        </w:tc>
        <w:tc>
          <w:tcPr>
            <w:tcW w:w="0" w:type="dxa"/>
            <w:vAlign w:val="bottom"/>
          </w:tcPr>
          <w:p>
            <w:pPr>
              <w:spacing w:after="0"/>
              <w:rPr>
                <w:sz w:val="1"/>
                <w:szCs w:val="1"/>
                <w:color w:val="auto"/>
              </w:rPr>
            </w:pP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7"/>
                <w:szCs w:val="17"/>
                <w:color w:val="auto"/>
              </w:rPr>
              <w:t>Paul Clancy, M.B.A.</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9"/>
        </w:trPr>
        <w:tc>
          <w:tcPr>
            <w:tcW w:w="4520" w:type="dxa"/>
            <w:vAlign w:val="bottom"/>
          </w:tcPr>
          <w:p>
            <w:pPr>
              <w:ind w:left="20"/>
              <w:spacing w:after="0"/>
              <w:rPr>
                <w:sz w:val="20"/>
                <w:szCs w:val="20"/>
                <w:color w:val="auto"/>
              </w:rPr>
            </w:pPr>
            <w:r>
              <w:rPr>
                <w:rFonts w:ascii="Arial" w:cs="Arial" w:eastAsia="Arial" w:hAnsi="Arial"/>
                <w:sz w:val="17"/>
                <w:szCs w:val="17"/>
                <w:color w:val="auto"/>
              </w:rPr>
              <w:t>/s/ Bruce Booth</w:t>
            </w:r>
          </w:p>
        </w:tc>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ind w:left="1120"/>
              <w:spacing w:after="0"/>
              <w:rPr>
                <w:sz w:val="20"/>
                <w:szCs w:val="20"/>
                <w:color w:val="auto"/>
              </w:rPr>
            </w:pPr>
            <w:r>
              <w:rPr>
                <w:rFonts w:ascii="Arial" w:cs="Arial" w:eastAsia="Arial" w:hAnsi="Arial"/>
                <w:sz w:val="17"/>
                <w:szCs w:val="17"/>
                <w:color w:val="auto"/>
              </w:rPr>
              <w:t>March 2, 2026</w:t>
            </w:r>
          </w:p>
        </w:tc>
        <w:tc>
          <w:tcPr>
            <w:tcW w:w="0" w:type="dxa"/>
            <w:vAlign w:val="bottom"/>
          </w:tcPr>
          <w:p>
            <w:pPr>
              <w:spacing w:after="0"/>
              <w:rPr>
                <w:sz w:val="1"/>
                <w:szCs w:val="1"/>
                <w:color w:val="auto"/>
              </w:rPr>
            </w:pP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7"/>
                <w:szCs w:val="17"/>
                <w:color w:val="auto"/>
              </w:rPr>
              <w:t>Bruce Booth, D.Phil.</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9"/>
        </w:trPr>
        <w:tc>
          <w:tcPr>
            <w:tcW w:w="4520" w:type="dxa"/>
            <w:vAlign w:val="bottom"/>
          </w:tcPr>
          <w:p>
            <w:pPr>
              <w:ind w:left="20"/>
              <w:spacing w:after="0"/>
              <w:rPr>
                <w:sz w:val="20"/>
                <w:szCs w:val="20"/>
                <w:color w:val="auto"/>
              </w:rPr>
            </w:pPr>
            <w:r>
              <w:rPr>
                <w:rFonts w:ascii="Arial" w:cs="Arial" w:eastAsia="Arial" w:hAnsi="Arial"/>
                <w:sz w:val="17"/>
                <w:szCs w:val="17"/>
                <w:color w:val="auto"/>
              </w:rPr>
              <w:t>/s/ H. Edward Fleming, Jr.</w:t>
            </w:r>
          </w:p>
        </w:tc>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ind w:left="1120"/>
              <w:spacing w:after="0"/>
              <w:rPr>
                <w:sz w:val="20"/>
                <w:szCs w:val="20"/>
                <w:color w:val="auto"/>
              </w:rPr>
            </w:pPr>
            <w:r>
              <w:rPr>
                <w:rFonts w:ascii="Arial" w:cs="Arial" w:eastAsia="Arial" w:hAnsi="Arial"/>
                <w:sz w:val="17"/>
                <w:szCs w:val="17"/>
                <w:color w:val="auto"/>
              </w:rPr>
              <w:t>March 2, 2026</w:t>
            </w:r>
          </w:p>
        </w:tc>
        <w:tc>
          <w:tcPr>
            <w:tcW w:w="0" w:type="dxa"/>
            <w:vAlign w:val="bottom"/>
          </w:tcPr>
          <w:p>
            <w:pPr>
              <w:spacing w:after="0"/>
              <w:rPr>
                <w:sz w:val="1"/>
                <w:szCs w:val="1"/>
                <w:color w:val="auto"/>
              </w:rPr>
            </w:pP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7"/>
                <w:szCs w:val="17"/>
                <w:color w:val="auto"/>
              </w:rPr>
              <w:t>H. Edward Fleming, Jr., M.D.</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9"/>
        </w:trPr>
        <w:tc>
          <w:tcPr>
            <w:tcW w:w="4520" w:type="dxa"/>
            <w:vAlign w:val="bottom"/>
          </w:tcPr>
          <w:p>
            <w:pPr>
              <w:ind w:left="20"/>
              <w:spacing w:after="0"/>
              <w:rPr>
                <w:sz w:val="20"/>
                <w:szCs w:val="20"/>
                <w:color w:val="auto"/>
              </w:rPr>
            </w:pPr>
            <w:r>
              <w:rPr>
                <w:rFonts w:ascii="Arial" w:cs="Arial" w:eastAsia="Arial" w:hAnsi="Arial"/>
                <w:sz w:val="17"/>
                <w:szCs w:val="17"/>
                <w:color w:val="auto"/>
              </w:rPr>
              <w:t>/s/ Lucian Iancovici</w:t>
            </w:r>
          </w:p>
        </w:tc>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ind w:left="1120"/>
              <w:spacing w:after="0"/>
              <w:rPr>
                <w:sz w:val="20"/>
                <w:szCs w:val="20"/>
                <w:color w:val="auto"/>
              </w:rPr>
            </w:pPr>
            <w:r>
              <w:rPr>
                <w:rFonts w:ascii="Arial" w:cs="Arial" w:eastAsia="Arial" w:hAnsi="Arial"/>
                <w:sz w:val="17"/>
                <w:szCs w:val="17"/>
                <w:color w:val="auto"/>
              </w:rPr>
              <w:t>March 2, 2026</w:t>
            </w:r>
          </w:p>
        </w:tc>
        <w:tc>
          <w:tcPr>
            <w:tcW w:w="0" w:type="dxa"/>
            <w:vAlign w:val="bottom"/>
          </w:tcPr>
          <w:p>
            <w:pPr>
              <w:spacing w:after="0"/>
              <w:rPr>
                <w:sz w:val="1"/>
                <w:szCs w:val="1"/>
                <w:color w:val="auto"/>
              </w:rPr>
            </w:pP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7"/>
                <w:szCs w:val="17"/>
                <w:color w:val="auto"/>
              </w:rPr>
              <w:t>Lucian Iancovici, M.D.</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9"/>
        </w:trPr>
        <w:tc>
          <w:tcPr>
            <w:tcW w:w="4520" w:type="dxa"/>
            <w:vAlign w:val="bottom"/>
          </w:tcPr>
          <w:p>
            <w:pPr>
              <w:ind w:left="20"/>
              <w:spacing w:after="0"/>
              <w:rPr>
                <w:sz w:val="20"/>
                <w:szCs w:val="20"/>
                <w:color w:val="auto"/>
              </w:rPr>
            </w:pPr>
            <w:r>
              <w:rPr>
                <w:rFonts w:ascii="Arial" w:cs="Arial" w:eastAsia="Arial" w:hAnsi="Arial"/>
                <w:sz w:val="17"/>
                <w:szCs w:val="17"/>
                <w:color w:val="auto"/>
              </w:rPr>
              <w:t>/s/ Joshua Resnick</w:t>
            </w:r>
          </w:p>
        </w:tc>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ind w:left="1120"/>
              <w:spacing w:after="0"/>
              <w:rPr>
                <w:sz w:val="20"/>
                <w:szCs w:val="20"/>
                <w:color w:val="auto"/>
              </w:rPr>
            </w:pPr>
            <w:r>
              <w:rPr>
                <w:rFonts w:ascii="Arial" w:cs="Arial" w:eastAsia="Arial" w:hAnsi="Arial"/>
                <w:sz w:val="17"/>
                <w:szCs w:val="17"/>
                <w:color w:val="auto"/>
              </w:rPr>
              <w:t>March 2, 2026</w:t>
            </w:r>
          </w:p>
        </w:tc>
        <w:tc>
          <w:tcPr>
            <w:tcW w:w="0" w:type="dxa"/>
            <w:vAlign w:val="bottom"/>
          </w:tcPr>
          <w:p>
            <w:pPr>
              <w:spacing w:after="0"/>
              <w:rPr>
                <w:sz w:val="1"/>
                <w:szCs w:val="1"/>
                <w:color w:val="auto"/>
              </w:rPr>
            </w:pP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7"/>
                <w:szCs w:val="17"/>
                <w:color w:val="auto"/>
              </w:rPr>
              <w:t>Joshua Resnick, M.D., M.B.A.</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212725</wp:posOffset>
            </wp:positionV>
            <wp:extent cx="716216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163" w:name="page164"/>
    <w:bookmarkEnd w:id="163"/>
    <w:tbl>
      <w:tblPr>
        <w:tblLayout w:type="fixed"/>
        <w:tblInd w:w="0" w:type="dxa"/>
        <w:tblCellMar>
          <w:top w:w="0" w:type="dxa"/>
          <w:left w:w="0" w:type="dxa"/>
          <w:bottom w:w="0" w:type="dxa"/>
          <w:right w:w="0" w:type="dxa"/>
        </w:tblCellMar>
      </w:tblPr>
      <w:tr>
        <w:trPr>
          <w:trHeight w:val="199"/>
        </w:trPr>
        <w:tc>
          <w:tcPr>
            <w:tcW w:w="452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7"/>
                <w:szCs w:val="17"/>
                <w:color w:val="auto"/>
              </w:rPr>
            </w:pPr>
          </w:p>
        </w:tc>
        <w:tc>
          <w:tcPr>
            <w:tcW w:w="42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7"/>
                <w:szCs w:val="17"/>
                <w:color w:val="auto"/>
              </w:rPr>
            </w:pPr>
          </w:p>
        </w:tc>
        <w:tc>
          <w:tcPr>
            <w:tcW w:w="22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Date</w:t>
            </w:r>
          </w:p>
        </w:tc>
      </w:tr>
      <w:tr>
        <w:trPr>
          <w:trHeight w:val="486"/>
        </w:trPr>
        <w:tc>
          <w:tcPr>
            <w:tcW w:w="4520" w:type="dxa"/>
            <w:vAlign w:val="bottom"/>
          </w:tcPr>
          <w:p>
            <w:pPr>
              <w:ind w:left="20"/>
              <w:spacing w:after="0"/>
              <w:rPr>
                <w:sz w:val="20"/>
                <w:szCs w:val="20"/>
                <w:color w:val="auto"/>
              </w:rPr>
            </w:pPr>
            <w:r>
              <w:rPr>
                <w:rFonts w:ascii="Arial" w:cs="Arial" w:eastAsia="Arial" w:hAnsi="Arial"/>
                <w:sz w:val="17"/>
                <w:szCs w:val="17"/>
                <w:color w:val="auto"/>
              </w:rPr>
              <w:t>/s/ Marcella K. Ruddy</w:t>
            </w:r>
          </w:p>
        </w:tc>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ind w:left="1120"/>
              <w:spacing w:after="0"/>
              <w:rPr>
                <w:sz w:val="20"/>
                <w:szCs w:val="20"/>
                <w:color w:val="auto"/>
              </w:rPr>
            </w:pPr>
            <w:r>
              <w:rPr>
                <w:rFonts w:ascii="Arial" w:cs="Arial" w:eastAsia="Arial" w:hAnsi="Arial"/>
                <w:sz w:val="17"/>
                <w:szCs w:val="17"/>
                <w:color w:val="auto"/>
              </w:rPr>
              <w:t>March 2, 2026</w:t>
            </w: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7"/>
                <w:szCs w:val="17"/>
                <w:color w:val="auto"/>
              </w:rPr>
              <w:t>Marcella K. Ruddy, M.D.</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509"/>
        </w:trPr>
        <w:tc>
          <w:tcPr>
            <w:tcW w:w="4520" w:type="dxa"/>
            <w:vAlign w:val="bottom"/>
          </w:tcPr>
          <w:p>
            <w:pPr>
              <w:ind w:left="20"/>
              <w:spacing w:after="0"/>
              <w:rPr>
                <w:sz w:val="20"/>
                <w:szCs w:val="20"/>
                <w:color w:val="auto"/>
              </w:rPr>
            </w:pPr>
            <w:r>
              <w:rPr>
                <w:rFonts w:ascii="Arial" w:cs="Arial" w:eastAsia="Arial" w:hAnsi="Arial"/>
                <w:sz w:val="17"/>
                <w:szCs w:val="17"/>
                <w:color w:val="auto"/>
              </w:rPr>
              <w:t>/s/ Laurie Stelzer</w:t>
            </w:r>
          </w:p>
        </w:tc>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ind w:left="1120"/>
              <w:spacing w:after="0"/>
              <w:rPr>
                <w:sz w:val="20"/>
                <w:szCs w:val="20"/>
                <w:color w:val="auto"/>
              </w:rPr>
            </w:pPr>
            <w:r>
              <w:rPr>
                <w:rFonts w:ascii="Arial" w:cs="Arial" w:eastAsia="Arial" w:hAnsi="Arial"/>
                <w:sz w:val="17"/>
                <w:szCs w:val="17"/>
                <w:color w:val="auto"/>
              </w:rPr>
              <w:t>March 2, 2026</w:t>
            </w: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7"/>
                <w:szCs w:val="17"/>
                <w:color w:val="auto"/>
              </w:rPr>
              <w:t>Laurie Stelzer, M.B.A.</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522"/>
        </w:trPr>
        <w:tc>
          <w:tcPr>
            <w:tcW w:w="4520" w:type="dxa"/>
            <w:vAlign w:val="bottom"/>
          </w:tcPr>
          <w:p>
            <w:pPr>
              <w:ind w:left="20"/>
              <w:spacing w:after="0"/>
              <w:rPr>
                <w:sz w:val="20"/>
                <w:szCs w:val="20"/>
                <w:color w:val="auto"/>
              </w:rPr>
            </w:pPr>
            <w:r>
              <w:rPr>
                <w:rFonts w:ascii="Arial" w:cs="Arial" w:eastAsia="Arial" w:hAnsi="Arial"/>
                <w:sz w:val="17"/>
                <w:szCs w:val="17"/>
                <w:color w:val="auto"/>
              </w:rPr>
              <w:t>/s/ Peter A. Thompson</w:t>
            </w:r>
          </w:p>
        </w:tc>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ind w:left="1120"/>
              <w:spacing w:after="0"/>
              <w:rPr>
                <w:sz w:val="20"/>
                <w:szCs w:val="20"/>
                <w:color w:val="auto"/>
              </w:rPr>
            </w:pPr>
            <w:r>
              <w:rPr>
                <w:rFonts w:ascii="Arial" w:cs="Arial" w:eastAsia="Arial" w:hAnsi="Arial"/>
                <w:sz w:val="17"/>
                <w:szCs w:val="17"/>
                <w:color w:val="auto"/>
              </w:rPr>
              <w:t>March 2, 2026</w:t>
            </w: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7"/>
                <w:szCs w:val="17"/>
                <w:color w:val="auto"/>
              </w:rPr>
              <w:t>Peter A. Thompson, M.D.</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509"/>
        </w:trPr>
        <w:tc>
          <w:tcPr>
            <w:tcW w:w="4520" w:type="dxa"/>
            <w:vAlign w:val="bottom"/>
          </w:tcPr>
          <w:p>
            <w:pPr>
              <w:ind w:left="20"/>
              <w:spacing w:after="0"/>
              <w:rPr>
                <w:sz w:val="20"/>
                <w:szCs w:val="20"/>
                <w:color w:val="auto"/>
              </w:rPr>
            </w:pPr>
            <w:r>
              <w:rPr>
                <w:rFonts w:ascii="Arial" w:cs="Arial" w:eastAsia="Arial" w:hAnsi="Arial"/>
                <w:sz w:val="17"/>
                <w:szCs w:val="17"/>
                <w:color w:val="auto"/>
              </w:rPr>
              <w:t>/s/ Joanne Viney</w:t>
            </w:r>
          </w:p>
        </w:tc>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40" w:type="dxa"/>
            <w:vAlign w:val="bottom"/>
          </w:tcPr>
          <w:p>
            <w:pPr>
              <w:ind w:left="1120"/>
              <w:spacing w:after="0"/>
              <w:rPr>
                <w:sz w:val="20"/>
                <w:szCs w:val="20"/>
                <w:color w:val="auto"/>
              </w:rPr>
            </w:pPr>
            <w:r>
              <w:rPr>
                <w:rFonts w:ascii="Arial" w:cs="Arial" w:eastAsia="Arial" w:hAnsi="Arial"/>
                <w:sz w:val="17"/>
                <w:szCs w:val="17"/>
                <w:color w:val="auto"/>
              </w:rPr>
              <w:t>March 2, 2026</w:t>
            </w: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7"/>
                <w:szCs w:val="17"/>
                <w:color w:val="auto"/>
              </w:rPr>
              <w:t>Joanne Viney, Ph.D.</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1174"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4"/>
          <w:szCs w:val="24"/>
          <w:b w:val="1"/>
          <w:bCs w:val="1"/>
          <w:color w:val="auto"/>
        </w:rPr>
        <w:t>SIONNA THERAPEUTICS, INC.</w:t>
      </w:r>
    </w:p>
    <w:p>
      <w:pPr>
        <w:spacing w:after="0" w:line="2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4"/>
          <w:szCs w:val="24"/>
          <w:b w:val="1"/>
          <w:bCs w:val="1"/>
          <w:color w:val="auto"/>
        </w:rPr>
        <w:t>AMENDED AND RESTATED</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NON-EMPLOYEE DIRECTOR COMPENSATION POLICY</w:t>
      </w:r>
    </w:p>
    <w:p>
      <w:pPr>
        <w:spacing w:after="0" w:line="210"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21"/>
          <w:szCs w:val="21"/>
          <w:color w:val="auto"/>
        </w:rPr>
        <w:t xml:space="preserve">The purpose of this Non-Employee Director Compensation Policy (the “Policy”) of Sionna Therapeutics, Inc., a Delaware corporation (the “Company”), is to provide a total compensation package that enables the Company to attract and retain, on a long-term basis, high-caliber directors who are not employees or officers of the Company or its subsidiaries (“Outside Directors”).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Policy will become effective as of the effective time of the registration statement for the Company’s initial public offering of its equity securities. In furtherance of the purpose stated above, all Outside Directors shall be paid compensation for services provided to the Company as Outside Directors as set forth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Cash Retainers</w:t>
      </w:r>
    </w:p>
    <w:p>
      <w:pPr>
        <w:spacing w:after="0" w:line="215" w:lineRule="exact"/>
        <w:rPr>
          <w:sz w:val="20"/>
          <w:szCs w:val="20"/>
          <w:color w:val="auto"/>
        </w:rPr>
      </w:pPr>
    </w:p>
    <w:p>
      <w:pPr>
        <w:jc w:val="both"/>
        <w:ind w:left="160" w:right="60"/>
        <w:spacing w:after="0" w:line="261" w:lineRule="auto"/>
        <w:rPr>
          <w:sz w:val="20"/>
          <w:szCs w:val="20"/>
          <w:color w:val="auto"/>
        </w:rPr>
      </w:pPr>
      <w:r>
        <w:rPr>
          <w:rFonts w:ascii="Times New Roman" w:cs="Times New Roman" w:eastAsia="Times New Roman" w:hAnsi="Times New Roman"/>
          <w:sz w:val="21"/>
          <w:szCs w:val="21"/>
          <w:u w:val="single" w:color="auto"/>
          <w:color w:val="auto"/>
        </w:rPr>
        <w:t>Annual Retainer for Board Membership</w:t>
      </w:r>
      <w:r>
        <w:rPr>
          <w:rFonts w:ascii="Times New Roman" w:cs="Times New Roman" w:eastAsia="Times New Roman" w:hAnsi="Times New Roman"/>
          <w:sz w:val="21"/>
          <w:szCs w:val="21"/>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78" w:lineRule="exact"/>
        <w:rPr>
          <w:sz w:val="20"/>
          <w:szCs w:val="20"/>
          <w:color w:val="auto"/>
        </w:rPr>
      </w:pPr>
    </w:p>
    <w:p>
      <w:pPr>
        <w:ind w:left="160"/>
        <w:spacing w:after="0"/>
        <w:tabs>
          <w:tab w:leader="none" w:pos="5460" w:val="left"/>
        </w:tabs>
        <w:rPr>
          <w:sz w:val="20"/>
          <w:szCs w:val="20"/>
          <w:color w:val="auto"/>
        </w:rPr>
      </w:pPr>
      <w:r>
        <w:rPr>
          <w:rFonts w:ascii="Times New Roman" w:cs="Times New Roman" w:eastAsia="Times New Roman" w:hAnsi="Times New Roman"/>
          <w:sz w:val="21"/>
          <w:szCs w:val="21"/>
          <w:u w:val="single" w:color="auto"/>
          <w:color w:val="auto"/>
        </w:rPr>
        <w:t>Additional Annual Retainer for Non-Executive Chairperson</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$30,000</w:t>
      </w: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u w:val="single" w:color="auto"/>
          <w:color w:val="auto"/>
        </w:rPr>
        <w:t>Additional Annual Retainers for Committee Membership</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ind w:left="160"/>
        <w:spacing w:after="0"/>
        <w:tabs>
          <w:tab w:leader="none" w:pos="2940" w:val="left"/>
        </w:tabs>
        <w:rPr>
          <w:sz w:val="20"/>
          <w:szCs w:val="20"/>
          <w:color w:val="auto"/>
        </w:rPr>
      </w:pPr>
      <w:r>
        <w:rPr>
          <w:rFonts w:ascii="Times New Roman" w:cs="Times New Roman" w:eastAsia="Times New Roman" w:hAnsi="Times New Roman"/>
          <w:sz w:val="21"/>
          <w:szCs w:val="21"/>
          <w:color w:val="auto"/>
        </w:rPr>
        <w:t>Audit Committee Chairperson:</w:t>
      </w:r>
      <w:r>
        <w:rPr>
          <w:sz w:val="20"/>
          <w:szCs w:val="20"/>
          <w:color w:val="auto"/>
        </w:rPr>
        <w:tab/>
      </w:r>
      <w:r>
        <w:rPr>
          <w:rFonts w:ascii="Times New Roman" w:cs="Times New Roman" w:eastAsia="Times New Roman" w:hAnsi="Times New Roman"/>
          <w:sz w:val="20"/>
          <w:szCs w:val="20"/>
          <w:color w:val="auto"/>
        </w:rPr>
        <w:t>$20,000</w:t>
      </w:r>
    </w:p>
    <w:p>
      <w:pPr>
        <w:spacing w:after="0" w:line="215" w:lineRule="exact"/>
        <w:rPr>
          <w:sz w:val="20"/>
          <w:szCs w:val="20"/>
          <w:color w:val="auto"/>
        </w:rPr>
      </w:pPr>
    </w:p>
    <w:p>
      <w:pPr>
        <w:ind w:left="160"/>
        <w:spacing w:after="0"/>
        <w:tabs>
          <w:tab w:leader="none" w:pos="4700" w:val="left"/>
        </w:tabs>
        <w:rPr>
          <w:sz w:val="20"/>
          <w:szCs w:val="20"/>
          <w:color w:val="auto"/>
        </w:rPr>
      </w:pPr>
      <w:r>
        <w:rPr>
          <w:rFonts w:ascii="Times New Roman" w:cs="Times New Roman" w:eastAsia="Times New Roman" w:hAnsi="Times New Roman"/>
          <w:sz w:val="21"/>
          <w:szCs w:val="21"/>
          <w:color w:val="auto"/>
        </w:rPr>
        <w:t>Audit Committee member (other than Chairperson):</w:t>
      </w:r>
      <w:r>
        <w:rPr>
          <w:sz w:val="20"/>
          <w:szCs w:val="20"/>
          <w:color w:val="auto"/>
        </w:rPr>
        <w:tab/>
      </w:r>
      <w:r>
        <w:rPr>
          <w:rFonts w:ascii="Times New Roman" w:cs="Times New Roman" w:eastAsia="Times New Roman" w:hAnsi="Times New Roman"/>
          <w:sz w:val="20"/>
          <w:szCs w:val="20"/>
          <w:color w:val="auto"/>
        </w:rPr>
        <w:t>$10,000</w:t>
      </w:r>
    </w:p>
    <w:p>
      <w:pPr>
        <w:spacing w:after="0" w:line="215" w:lineRule="exact"/>
        <w:rPr>
          <w:sz w:val="20"/>
          <w:szCs w:val="20"/>
          <w:color w:val="auto"/>
        </w:rPr>
      </w:pPr>
    </w:p>
    <w:p>
      <w:pPr>
        <w:ind w:left="160"/>
        <w:spacing w:after="0"/>
        <w:tabs>
          <w:tab w:leader="none" w:pos="3660" w:val="left"/>
        </w:tabs>
        <w:rPr>
          <w:sz w:val="20"/>
          <w:szCs w:val="20"/>
          <w:color w:val="auto"/>
        </w:rPr>
      </w:pPr>
      <w:r>
        <w:rPr>
          <w:rFonts w:ascii="Times New Roman" w:cs="Times New Roman" w:eastAsia="Times New Roman" w:hAnsi="Times New Roman"/>
          <w:sz w:val="21"/>
          <w:szCs w:val="21"/>
          <w:color w:val="auto"/>
        </w:rPr>
        <w:t>Compensation Committee Chairperson:</w:t>
      </w:r>
      <w:r>
        <w:rPr>
          <w:sz w:val="20"/>
          <w:szCs w:val="20"/>
          <w:color w:val="auto"/>
        </w:rPr>
        <w:tab/>
      </w:r>
      <w:r>
        <w:rPr>
          <w:rFonts w:ascii="Times New Roman" w:cs="Times New Roman" w:eastAsia="Times New Roman" w:hAnsi="Times New Roman"/>
          <w:sz w:val="20"/>
          <w:szCs w:val="20"/>
          <w:color w:val="auto"/>
        </w:rPr>
        <w:t>$15,000</w:t>
      </w:r>
    </w:p>
    <w:p>
      <w:pPr>
        <w:spacing w:after="0" w:line="228" w:lineRule="exact"/>
        <w:rPr>
          <w:sz w:val="20"/>
          <w:szCs w:val="20"/>
          <w:color w:val="auto"/>
        </w:rPr>
      </w:pPr>
    </w:p>
    <w:p>
      <w:pPr>
        <w:ind w:left="160"/>
        <w:spacing w:after="0"/>
        <w:tabs>
          <w:tab w:leader="none" w:pos="5440" w:val="left"/>
        </w:tabs>
        <w:rPr>
          <w:sz w:val="20"/>
          <w:szCs w:val="20"/>
          <w:color w:val="auto"/>
        </w:rPr>
      </w:pPr>
      <w:r>
        <w:rPr>
          <w:rFonts w:ascii="Times New Roman" w:cs="Times New Roman" w:eastAsia="Times New Roman" w:hAnsi="Times New Roman"/>
          <w:sz w:val="21"/>
          <w:szCs w:val="21"/>
          <w:color w:val="auto"/>
        </w:rPr>
        <w:t>Compensation Committee member (other than Chairperson):</w:t>
        <w:tab/>
        <w:t>$7,500</w:t>
      </w:r>
    </w:p>
    <w:p>
      <w:pPr>
        <w:spacing w:after="0" w:line="215" w:lineRule="exact"/>
        <w:rPr>
          <w:sz w:val="20"/>
          <w:szCs w:val="20"/>
          <w:color w:val="auto"/>
        </w:rPr>
      </w:pPr>
    </w:p>
    <w:p>
      <w:pPr>
        <w:ind w:left="160"/>
        <w:spacing w:after="0"/>
        <w:tabs>
          <w:tab w:leader="none" w:pos="5760" w:val="left"/>
        </w:tabs>
        <w:rPr>
          <w:sz w:val="20"/>
          <w:szCs w:val="20"/>
          <w:color w:val="auto"/>
        </w:rPr>
      </w:pPr>
      <w:r>
        <w:rPr>
          <w:rFonts w:ascii="Times New Roman" w:cs="Times New Roman" w:eastAsia="Times New Roman" w:hAnsi="Times New Roman"/>
          <w:sz w:val="21"/>
          <w:szCs w:val="21"/>
          <w:color w:val="auto"/>
        </w:rPr>
        <w:t>Nominating and Corporate Governance Committee Chairperson:</w:t>
      </w:r>
      <w:r>
        <w:rPr>
          <w:sz w:val="20"/>
          <w:szCs w:val="20"/>
          <w:color w:val="auto"/>
        </w:rPr>
        <w:tab/>
      </w:r>
      <w:r>
        <w:rPr>
          <w:rFonts w:ascii="Times New Roman" w:cs="Times New Roman" w:eastAsia="Times New Roman" w:hAnsi="Times New Roman"/>
          <w:sz w:val="20"/>
          <w:szCs w:val="20"/>
          <w:color w:val="auto"/>
        </w:rPr>
        <w:t>$10,000</w:t>
      </w:r>
    </w:p>
    <w:p>
      <w:pPr>
        <w:spacing w:after="0" w:line="215" w:lineRule="exact"/>
        <w:rPr>
          <w:sz w:val="20"/>
          <w:szCs w:val="20"/>
          <w:color w:val="auto"/>
        </w:rPr>
      </w:pPr>
    </w:p>
    <w:p>
      <w:pPr>
        <w:ind w:left="160"/>
        <w:spacing w:after="0"/>
        <w:tabs>
          <w:tab w:leader="none" w:pos="7540" w:val="left"/>
        </w:tabs>
        <w:rPr>
          <w:sz w:val="20"/>
          <w:szCs w:val="20"/>
          <w:color w:val="auto"/>
        </w:rPr>
      </w:pPr>
      <w:r>
        <w:rPr>
          <w:rFonts w:ascii="Times New Roman" w:cs="Times New Roman" w:eastAsia="Times New Roman" w:hAnsi="Times New Roman"/>
          <w:sz w:val="21"/>
          <w:szCs w:val="21"/>
          <w:color w:val="auto"/>
        </w:rPr>
        <w:t>Nominating and Corporate Governance Committee member (other than Chairperson):</w:t>
      </w:r>
      <w:r>
        <w:rPr>
          <w:sz w:val="20"/>
          <w:szCs w:val="20"/>
          <w:color w:val="auto"/>
        </w:rPr>
        <w:tab/>
      </w:r>
      <w:r>
        <w:rPr>
          <w:rFonts w:ascii="Times New Roman" w:cs="Times New Roman" w:eastAsia="Times New Roman" w:hAnsi="Times New Roman"/>
          <w:sz w:val="20"/>
          <w:szCs w:val="20"/>
          <w:color w:val="auto"/>
        </w:rPr>
        <w:t>$5,000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Equity Retainers</w:t>
      </w:r>
    </w:p>
    <w:p>
      <w:pPr>
        <w:spacing w:after="0" w:line="21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21"/>
          <w:szCs w:val="21"/>
          <w:color w:val="auto"/>
        </w:rPr>
        <w:t>All grants of equity retainer awards to Outside Directors pursuant to this Policy will be automatic and nondiscretionary and will be made in accordance with the following provisions:</w:t>
      </w:r>
    </w:p>
    <w:p>
      <w:pPr>
        <w:spacing w:after="0" w:line="136"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21"/>
          <w:szCs w:val="21"/>
          <w:u w:val="single" w:color="auto"/>
          <w:color w:val="auto"/>
        </w:rPr>
        <w:t>Initial Award</w:t>
      </w:r>
      <w:r>
        <w:rPr>
          <w:rFonts w:ascii="Times New Roman" w:cs="Times New Roman" w:eastAsia="Times New Roman" w:hAnsi="Times New Roman"/>
          <w:sz w:val="21"/>
          <w:szCs w:val="21"/>
          <w:color w:val="auto"/>
        </w:rPr>
        <w:t>: Upon his or her initial election to the Board of Directors, each Outside Director will receive an initial, one-time stock option award (the “Initial Award”) to purchase 34, 680 shares, which shall vest in equal annual installments over three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ACTIVE/131745940.24</w:t>
      </w:r>
    </w:p>
    <w:p>
      <w:pPr>
        <w:sectPr>
          <w:pgSz w:w="11900" w:h="16838" w:orient="portrait"/>
          <w:cols w:equalWidth="0" w:num="1">
            <w:col w:w="11240"/>
          </w:cols>
          <w:pgMar w:left="320" w:top="121"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60"/>
        <w:spacing w:after="0" w:line="257" w:lineRule="auto"/>
        <w:rPr>
          <w:sz w:val="20"/>
          <w:szCs w:val="20"/>
          <w:color w:val="auto"/>
        </w:rPr>
      </w:pPr>
      <w:r>
        <w:rPr>
          <w:rFonts w:ascii="Times New Roman" w:cs="Times New Roman" w:eastAsia="Times New Roman" w:hAnsi="Times New Roman"/>
          <w:sz w:val="21"/>
          <w:szCs w:val="21"/>
          <w:color w:val="auto"/>
        </w:rPr>
        <w:t>provided, however, that all vesting shall cease if the director ceases to have a Service Relationship (as defined in the Company’s 2025 Stock Option and Grant Plan, as amended from time to time (the “2025 Plan”)) with the Company, unless the Board of Directors determines that the circumstances warrant continuation of vesting. The Initial Award shall expire ten years from the date of grant, and shall have a per share exercise price equal to the Fair Market Value (as defined in the 2025 Plan) of the Company’s common stock on the date of grant.</w:t>
      </w:r>
    </w:p>
    <w:p>
      <w:pPr>
        <w:spacing w:after="0" w:line="169"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On the date of each Annual Meeting of Stockholders of the Company (each, an “Annual Meeting”), each continuing Outside Director, other than a director receiving an Initial Award on the date of such Annual Meeting, will receive an annual stock option award (the “Annual Award”) to purchase 17,340 shares, which shall vest in full upon the earlier of (i) the first anniversary of the date of grant or (ii) the date of the next Annual Meeting; provided, however, that all vesting shall cease if the director ceases to have a Service Relationship with the Company, unless otherwise determined by the Board of Directors. If an Outside Director joins the Board of Directors on a date other than the date of the Annual Meeting, then, at the next Annual Meeting, in lieu of a full Annual Award, such Outside Director will be granted a pro-rata portion of the Annual Award based on the number of full months between such Outside Director’s initial election or appointment and such Annual Meeting (a “Pro-Rated Annual Award”), which shall vest according to the same terms as an Annual Award. Annual Awards and Pro-Rated Annual Awards shall expire ten years from the date of grant, and shall have a per share exercise price equal to the Fair Market Value of the Company’s common stock on the date of grant.</w:t>
      </w:r>
    </w:p>
    <w:p>
      <w:pPr>
        <w:spacing w:after="0" w:line="174"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21"/>
          <w:szCs w:val="21"/>
          <w:u w:val="single" w:color="auto"/>
          <w:color w:val="auto"/>
        </w:rPr>
        <w:t>Value</w:t>
      </w:r>
      <w:r>
        <w:rPr>
          <w:rFonts w:ascii="Times New Roman" w:cs="Times New Roman" w:eastAsia="Times New Roman" w:hAnsi="Times New Roman"/>
          <w:sz w:val="21"/>
          <w:szCs w:val="21"/>
          <w:color w:val="auto"/>
        </w:rPr>
        <w:t>: For purposes of this Policy, “Value” means with respect to (i) any stock option award,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 and (ii) any award of restricted stock or restricted stock units the product of (A) the average closing market price on the Nasdaq Global Market (or such other market on which the Company’s common stock is then principally listed) of one share of the Company’s common stock over the trailing 20-trading day period ending on the last trading day immediately prior to the grant date and (B) the aggregate number of shares of common stock underlying such award.</w:t>
      </w:r>
    </w:p>
    <w:p>
      <w:pPr>
        <w:spacing w:after="0" w:line="176" w:lineRule="exact"/>
        <w:rPr>
          <w:sz w:val="20"/>
          <w:szCs w:val="20"/>
          <w:color w:val="auto"/>
        </w:rPr>
      </w:pPr>
    </w:p>
    <w:p>
      <w:pPr>
        <w:jc w:val="both"/>
        <w:ind w:left="160"/>
        <w:spacing w:after="0" w:line="268" w:lineRule="auto"/>
        <w:rPr>
          <w:sz w:val="20"/>
          <w:szCs w:val="20"/>
          <w:color w:val="auto"/>
        </w:rPr>
      </w:pPr>
      <w:r>
        <w:rPr>
          <w:rFonts w:ascii="Times New Roman" w:cs="Times New Roman" w:eastAsia="Times New Roman" w:hAnsi="Times New Roman"/>
          <w:sz w:val="21"/>
          <w:szCs w:val="21"/>
          <w:u w:val="single" w:color="auto"/>
          <w:color w:val="auto"/>
        </w:rPr>
        <w:t>Sale Event Acceleration</w:t>
      </w:r>
      <w:r>
        <w:rPr>
          <w:rFonts w:ascii="Times New Roman" w:cs="Times New Roman" w:eastAsia="Times New Roman" w:hAnsi="Times New Roman"/>
          <w:sz w:val="21"/>
          <w:szCs w:val="21"/>
          <w:color w:val="auto"/>
        </w:rPr>
        <w:t>: All outstanding Initial Awards and Annual Awards (including Pro-Rated Annual Grants) held by an Outside Director shall become fully vested, exercisable (if applicable) and nonforfeitable upon a Sale Event (as defined in the 2025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Expenses</w:t>
      </w:r>
    </w:p>
    <w:p>
      <w:pPr>
        <w:spacing w:after="0" w:line="215" w:lineRule="exact"/>
        <w:rPr>
          <w:sz w:val="20"/>
          <w:szCs w:val="20"/>
          <w:color w:val="auto"/>
        </w:rPr>
      </w:pPr>
    </w:p>
    <w:p>
      <w:pPr>
        <w:ind w:left="160" w:right="60"/>
        <w:spacing w:after="0" w:line="276" w:lineRule="auto"/>
        <w:rPr>
          <w:sz w:val="20"/>
          <w:szCs w:val="20"/>
          <w:color w:val="auto"/>
        </w:rPr>
      </w:pPr>
      <w:r>
        <w:rPr>
          <w:rFonts w:ascii="Times New Roman" w:cs="Times New Roman" w:eastAsia="Times New Roman" w:hAnsi="Times New Roman"/>
          <w:sz w:val="21"/>
          <w:szCs w:val="21"/>
          <w:color w:val="auto"/>
        </w:rPr>
        <w:t>The Company will reimburse all reasonable out-of-pocket expenses incurred by Outside Directors in attending meetings of the Board of Directors or any committee thereof.</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Maximum Annual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ACTIVE/131745940.24</w:t>
      </w:r>
    </w:p>
    <w:p>
      <w:pPr>
        <w:sectPr>
          <w:pgSz w:w="11900" w:h="16838" w:orient="portrait"/>
          <w:cols w:equalWidth="0" w:num="1">
            <w:col w:w="11240"/>
          </w:cols>
          <w:pgMar w:left="320" w:top="121"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21"/>
          <w:szCs w:val="21"/>
          <w:color w:val="auto"/>
        </w:rPr>
        <w:t>The aggregate value of all equity compensation and cash compensation paid by the Company to any Outside Director for services as an Outside Director in any calendar year shall not exceed $750,000 (or such other limit as may be set forth in Section 3(b) of the 2025 Plan or any similar provision of a successor plan); provided, however, that in the first calendar year in which an individual becomes an Outside Director, the aggregate value of all equity compensation and cash compensation paid by the Company to such Outside Director for services as an Outside Director shall not exceed $1,000,000 (or such other limit as may be set forth in Section 3(b) of the 2025 Plan or any similar provision of a successor plan). In the event that the Annual Award or Initial Award causes an Outside Director to exceed his or her applicable maximum annual compensation limit, the Annual Award or Initial Award to such Outside Director, as the case may be, shall automatically and with no further action by the Board of Directors be adjusted downwards to the value that is required to remain below the applicable maximum annual compensation limit.</w:t>
      </w:r>
    </w:p>
    <w:p>
      <w:pPr>
        <w:spacing w:after="0" w:line="176"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21"/>
          <w:szCs w:val="21"/>
          <w:color w:val="auto"/>
        </w:rPr>
        <w:t>For the purpose of this limitation, the value of any equity compensation shall be its grant date fair value, as determined in accordance with FASB ASC Topic 718 or successor provision but excluding the impact of estimated forfeitures related to service-based vesting provisions.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Adopted January 31, 2025, subject to effectiveness of the Company’s Registration Statement on Form S-1.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Amended effective as of January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ACTIVE/131745940.24</w:t>
      </w:r>
    </w:p>
    <w:p>
      <w:pPr>
        <w:sectPr>
          <w:pgSz w:w="11900" w:h="16838" w:orient="portrait"/>
          <w:cols w:equalWidth="0" w:num="1">
            <w:col w:w="11240"/>
          </w:cols>
          <w:pgMar w:left="320" w:top="121" w:right="339" w:bottom="1440" w:gutter="0" w:footer="0" w:header="0"/>
        </w:sectPr>
      </w:pPr>
    </w:p>
    <w:bookmarkStart w:id="167" w:name="page168"/>
    <w:bookmarkEnd w:id="167"/>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2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333-284778 on Form S-8 of our report dated March 2, 2026, relating to the financial statements of Sionna Therapeutics, Inc. appearing in this Annual Report on Form 10-K for the year ended December 31,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ectPr>
          <w:pgSz w:w="11900" w:h="16838" w:orient="portrait"/>
          <w:cols w:equalWidth="0" w:num="1">
            <w:col w:w="11160"/>
          </w:cols>
          <w:pgMar w:left="320" w:top="1440" w:right="4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5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RULES 13a-14(a) OR 15d-14(a) UNDER THE SECURITIES EXCHANGE ACT OF 1934,</w:t>
      </w:r>
    </w:p>
    <w:p>
      <w:pPr>
        <w:spacing w:after="0" w:line="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Michael Cloonan, certify that:</w:t>
      </w:r>
    </w:p>
    <w:p>
      <w:pPr>
        <w:spacing w:after="0" w:line="39" w:lineRule="exact"/>
        <w:rPr>
          <w:sz w:val="20"/>
          <w:szCs w:val="20"/>
          <w:color w:val="auto"/>
        </w:rPr>
      </w:pPr>
    </w:p>
    <w:p>
      <w:pPr>
        <w:ind w:left="300" w:hanging="296"/>
        <w:spacing w:after="0"/>
        <w:tabs>
          <w:tab w:leader="none" w:pos="3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2025 of Sionna Therapeutics, Inc.;</w:t>
      </w:r>
    </w:p>
    <w:p>
      <w:pPr>
        <w:spacing w:after="0" w:line="52" w:lineRule="exact"/>
        <w:rPr>
          <w:rFonts w:ascii="Times New Roman" w:cs="Times New Roman" w:eastAsia="Times New Roman" w:hAnsi="Times New Roman"/>
          <w:sz w:val="17"/>
          <w:szCs w:val="17"/>
          <w:color w:val="auto"/>
        </w:rPr>
      </w:pPr>
    </w:p>
    <w:p>
      <w:pPr>
        <w:ind w:left="640" w:right="40" w:hanging="636"/>
        <w:spacing w:after="0" w:line="296" w:lineRule="auto"/>
        <w:tabs>
          <w:tab w:leader="none" w:pos="31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40" w:right="120" w:hanging="636"/>
        <w:spacing w:after="0" w:line="296" w:lineRule="auto"/>
        <w:tabs>
          <w:tab w:leader="none" w:pos="31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40" w:right="280" w:hanging="636"/>
        <w:spacing w:after="0" w:line="293" w:lineRule="auto"/>
        <w:tabs>
          <w:tab w:leader="none" w:pos="31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7"/>
          <w:szCs w:val="17"/>
          <w:color w:val="auto"/>
        </w:rPr>
      </w:pPr>
    </w:p>
    <w:p>
      <w:pPr>
        <w:ind w:left="920" w:hanging="289"/>
        <w:spacing w:after="0"/>
        <w:tabs>
          <w:tab w:leader="none" w:pos="9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w:t>
      </w:r>
    </w:p>
    <w:p>
      <w:pPr>
        <w:spacing w:after="0" w:line="52" w:lineRule="exact"/>
        <w:rPr>
          <w:rFonts w:ascii="Times New Roman" w:cs="Times New Roman" w:eastAsia="Times New Roman" w:hAnsi="Times New Roman"/>
          <w:sz w:val="17"/>
          <w:szCs w:val="17"/>
          <w:color w:val="auto"/>
        </w:rPr>
      </w:pPr>
    </w:p>
    <w:p>
      <w:pPr>
        <w:ind w:left="1260" w:right="200"/>
        <w:spacing w:after="0" w:line="29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material information relating to the registrant, including its consolidated subsidiaries, is made known to us by others within those entities, particularly during the period in which this report is being prepared;</w:t>
      </w:r>
    </w:p>
    <w:p>
      <w:pPr>
        <w:ind w:left="940" w:hanging="309"/>
        <w:spacing w:after="0"/>
        <w:tabs>
          <w:tab w:leader="none" w:pos="94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w:t>
      </w:r>
    </w:p>
    <w:p>
      <w:pPr>
        <w:spacing w:after="0" w:line="52" w:lineRule="exact"/>
        <w:rPr>
          <w:rFonts w:ascii="Times New Roman" w:cs="Times New Roman" w:eastAsia="Times New Roman" w:hAnsi="Times New Roman"/>
          <w:sz w:val="17"/>
          <w:szCs w:val="17"/>
          <w:color w:val="auto"/>
        </w:rPr>
      </w:pPr>
    </w:p>
    <w:p>
      <w:pPr>
        <w:ind w:left="1260" w:right="420"/>
        <w:spacing w:after="0" w:line="29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supervision, to provide reasonable assurance regarding the reliability of financial reporting and the preparation of financial statements for external purposes in accordance with generally accepted accounting principles;</w:t>
      </w:r>
    </w:p>
    <w:p>
      <w:pPr>
        <w:ind w:left="1260" w:right="580" w:hanging="629"/>
        <w:spacing w:after="0" w:line="296" w:lineRule="auto"/>
        <w:tabs>
          <w:tab w:leader="none" w:pos="928"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60" w:hanging="629"/>
        <w:spacing w:after="0" w:line="293" w:lineRule="auto"/>
        <w:tabs>
          <w:tab w:leader="none" w:pos="938"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7"/>
          <w:szCs w:val="17"/>
          <w:color w:val="auto"/>
        </w:rPr>
      </w:pPr>
    </w:p>
    <w:p>
      <w:pPr>
        <w:ind w:left="640" w:right="700" w:hanging="636"/>
        <w:spacing w:after="0" w:line="296" w:lineRule="auto"/>
        <w:tabs>
          <w:tab w:leader="none" w:pos="31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60" w:right="360" w:hanging="629"/>
        <w:spacing w:after="0" w:line="296" w:lineRule="auto"/>
        <w:tabs>
          <w:tab w:leader="none" w:pos="918"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right="300" w:hanging="629"/>
        <w:spacing w:after="0" w:line="343" w:lineRule="auto"/>
        <w:tabs>
          <w:tab w:leader="none" w:pos="928"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Date: March 2, 2026</w:t>
            </w:r>
          </w:p>
        </w:tc>
        <w:tc>
          <w:tcPr>
            <w:tcW w:w="236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Michael Cloonan</w:t>
            </w:r>
          </w:p>
        </w:tc>
      </w:tr>
      <w:tr>
        <w:trPr>
          <w:trHeight w:val="222"/>
        </w:trPr>
        <w:tc>
          <w:tcPr>
            <w:tcW w:w="3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Michael Cloonan</w:t>
            </w:r>
          </w:p>
        </w:tc>
      </w:tr>
      <w:tr>
        <w:trPr>
          <w:trHeight w:val="280"/>
        </w:trPr>
        <w:tc>
          <w:tcPr>
            <w:tcW w:w="3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tc>
      </w:tr>
      <w:tr>
        <w:trPr>
          <w:trHeight w:val="261"/>
        </w:trPr>
        <w:tc>
          <w:tcPr>
            <w:tcW w:w="35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tc>
      </w:tr>
    </w:tbl>
    <w:p>
      <w:pPr>
        <w:sectPr>
          <w:pgSz w:w="11900" w:h="16838" w:orient="portrait"/>
          <w:cols w:equalWidth="0" w:num="1">
            <w:col w:w="11240"/>
          </w:cols>
          <w:pgMar w:left="320" w:top="134"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5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RULES 13a-14(a) OR 15d-14(a) UNDER THE SECURITIES EXCHANGE ACT OF 1934,</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Elena Ridloff, certify that:</w:t>
      </w:r>
    </w:p>
    <w:p>
      <w:pPr>
        <w:spacing w:after="0" w:line="39" w:lineRule="exact"/>
        <w:rPr>
          <w:sz w:val="20"/>
          <w:szCs w:val="20"/>
          <w:color w:val="auto"/>
        </w:rPr>
      </w:pPr>
    </w:p>
    <w:p>
      <w:pPr>
        <w:ind w:left="300" w:hanging="296"/>
        <w:spacing w:after="0"/>
        <w:tabs>
          <w:tab w:leader="none" w:pos="3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2025 of Sionna Therapeutics, Inc.;</w:t>
      </w:r>
    </w:p>
    <w:p>
      <w:pPr>
        <w:spacing w:after="0" w:line="52" w:lineRule="exact"/>
        <w:rPr>
          <w:rFonts w:ascii="Times New Roman" w:cs="Times New Roman" w:eastAsia="Times New Roman" w:hAnsi="Times New Roman"/>
          <w:sz w:val="17"/>
          <w:szCs w:val="17"/>
          <w:color w:val="auto"/>
        </w:rPr>
      </w:pPr>
    </w:p>
    <w:p>
      <w:pPr>
        <w:ind w:left="640" w:right="40" w:hanging="636"/>
        <w:spacing w:after="0" w:line="296" w:lineRule="auto"/>
        <w:tabs>
          <w:tab w:leader="none" w:pos="31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40" w:right="120" w:hanging="636"/>
        <w:spacing w:after="0" w:line="296" w:lineRule="auto"/>
        <w:tabs>
          <w:tab w:leader="none" w:pos="31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40" w:right="280" w:hanging="636"/>
        <w:spacing w:after="0" w:line="315" w:lineRule="auto"/>
        <w:tabs>
          <w:tab w:leader="none" w:pos="31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920" w:hanging="289"/>
        <w:spacing w:after="0"/>
        <w:tabs>
          <w:tab w:leader="none" w:pos="92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w:t>
      </w:r>
    </w:p>
    <w:p>
      <w:pPr>
        <w:spacing w:after="0" w:line="52" w:lineRule="exact"/>
        <w:rPr>
          <w:rFonts w:ascii="Times New Roman" w:cs="Times New Roman" w:eastAsia="Times New Roman" w:hAnsi="Times New Roman"/>
          <w:sz w:val="17"/>
          <w:szCs w:val="17"/>
          <w:color w:val="auto"/>
        </w:rPr>
      </w:pPr>
    </w:p>
    <w:p>
      <w:pPr>
        <w:ind w:left="1260" w:right="200"/>
        <w:spacing w:after="0" w:line="29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material information relating to the registrant, including its consolidated subsidiaries, is made known to us by others within those entities, particularly during the period in which this report is being prepared;</w:t>
      </w:r>
    </w:p>
    <w:p>
      <w:pPr>
        <w:ind w:left="1260" w:right="420" w:hanging="629"/>
        <w:spacing w:after="0" w:line="293" w:lineRule="auto"/>
        <w:tabs>
          <w:tab w:leader="none" w:pos="938"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60" w:right="580" w:hanging="629"/>
        <w:spacing w:after="0" w:line="296" w:lineRule="auto"/>
        <w:tabs>
          <w:tab w:leader="none" w:pos="928"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40" w:hanging="309"/>
        <w:spacing w:after="0"/>
        <w:tabs>
          <w:tab w:leader="none" w:pos="9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w:t>
      </w:r>
    </w:p>
    <w:p>
      <w:pPr>
        <w:spacing w:after="0" w:line="52" w:lineRule="exact"/>
        <w:rPr>
          <w:rFonts w:ascii="Times New Roman" w:cs="Times New Roman" w:eastAsia="Times New Roman" w:hAnsi="Times New Roman"/>
          <w:sz w:val="17"/>
          <w:szCs w:val="17"/>
          <w:color w:val="auto"/>
        </w:rPr>
      </w:pPr>
    </w:p>
    <w:p>
      <w:pPr>
        <w:ind w:left="1260" w:right="260"/>
        <w:spacing w:after="0" w:line="29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 (the registrant’s fourth fiscal quarter in the case of an annual report) that has materially affected, or is reasonably likely to materially affect, the registrant’s internal control over financial reporting; and</w:t>
      </w:r>
    </w:p>
    <w:p>
      <w:pPr>
        <w:ind w:left="640" w:right="700" w:hanging="636"/>
        <w:spacing w:after="0" w:line="296" w:lineRule="auto"/>
        <w:tabs>
          <w:tab w:leader="none" w:pos="31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60" w:right="360" w:hanging="629"/>
        <w:spacing w:after="0" w:line="296" w:lineRule="auto"/>
        <w:tabs>
          <w:tab w:leader="none" w:pos="918"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right="300" w:hanging="629"/>
        <w:spacing w:after="0" w:line="312" w:lineRule="auto"/>
        <w:tabs>
          <w:tab w:leader="none" w:pos="928"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1820" w:type="dxa"/>
        <w:tblCellMar>
          <w:top w:w="0" w:type="dxa"/>
          <w:left w:w="0" w:type="dxa"/>
          <w:bottom w:w="0" w:type="dxa"/>
          <w:right w:w="0" w:type="dxa"/>
        </w:tblCellMar>
      </w:tblP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Date: March 2, 2026</w:t>
            </w:r>
          </w:p>
        </w:tc>
        <w:tc>
          <w:tcPr>
            <w:tcW w:w="2320" w:type="dxa"/>
            <w:vAlign w:val="bottom"/>
          </w:tcPr>
          <w:p>
            <w:pPr>
              <w:ind w:left="2000"/>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Elena Ridloff</w:t>
            </w:r>
          </w:p>
        </w:tc>
      </w:tr>
      <w:tr>
        <w:trPr>
          <w:trHeight w:val="222"/>
        </w:trPr>
        <w:tc>
          <w:tcPr>
            <w:tcW w:w="3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Elena Ridloff</w:t>
            </w:r>
          </w:p>
        </w:tc>
      </w:tr>
      <w:tr>
        <w:trPr>
          <w:trHeight w:val="280"/>
        </w:trPr>
        <w:tc>
          <w:tcPr>
            <w:tcW w:w="3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Chief Financial Officer</w:t>
            </w:r>
          </w:p>
        </w:tc>
      </w:tr>
      <w:tr>
        <w:trPr>
          <w:trHeight w:val="261"/>
        </w:trPr>
        <w:tc>
          <w:tcPr>
            <w:tcW w:w="34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 and Principal</w:t>
            </w:r>
          </w:p>
        </w:tc>
      </w:tr>
      <w:tr>
        <w:trPr>
          <w:trHeight w:val="235"/>
        </w:trPr>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Accounting Officer)</w:t>
            </w:r>
          </w:p>
        </w:tc>
      </w:tr>
    </w:tbl>
    <w:p>
      <w:pPr>
        <w:sectPr>
          <w:pgSz w:w="11900" w:h="16838" w:orient="portrait"/>
          <w:cols w:equalWidth="0" w:num="1">
            <w:col w:w="11240"/>
          </w:cols>
          <w:pgMar w:left="320" w:top="134"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AND PRINCIPAL FINANCIAL OFFICER PURSUANT TO</w:t>
      </w:r>
    </w:p>
    <w:p>
      <w:pPr>
        <w:spacing w:after="0" w:line="5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55"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7"/>
          <w:szCs w:val="17"/>
          <w:color w:val="auto"/>
        </w:rPr>
        <w:t>In connection with the Annual Report on Form 10-K of Sionna Therapeutics, Inc. (the “Company”) for the fiscal year ended December 31, 2025 as filed with the Securities and Exchange Commission on the date hereof (the “Report”), each of the undersigned hereby certify, pursuant to 18 U.S.C. § 1350, as adopted pursuant to § 906 of the Sarbanes-Oxley Act of 2002, that:</w:t>
      </w:r>
    </w:p>
    <w:p>
      <w:pPr>
        <w:spacing w:after="0" w:line="2" w:lineRule="exact"/>
        <w:rPr>
          <w:sz w:val="20"/>
          <w:szCs w:val="20"/>
          <w:color w:val="auto"/>
        </w:rPr>
      </w:pPr>
    </w:p>
    <w:p>
      <w:pPr>
        <w:ind w:left="380" w:hanging="376"/>
        <w:spacing w:after="0"/>
        <w:tabs>
          <w:tab w:leader="none" w:pos="3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52" w:lineRule="exact"/>
        <w:rPr>
          <w:rFonts w:ascii="Times New Roman" w:cs="Times New Roman" w:eastAsia="Times New Roman" w:hAnsi="Times New Roman"/>
          <w:sz w:val="17"/>
          <w:szCs w:val="17"/>
          <w:color w:val="auto"/>
        </w:rPr>
      </w:pPr>
    </w:p>
    <w:p>
      <w:pPr>
        <w:ind w:left="380" w:hanging="376"/>
        <w:spacing w:after="0"/>
        <w:tabs>
          <w:tab w:leader="none" w:pos="3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Date: March 2, 2026</w:t>
            </w:r>
          </w:p>
        </w:tc>
        <w:tc>
          <w:tcPr>
            <w:tcW w:w="2020" w:type="dxa"/>
            <w:vAlign w:val="bottom"/>
          </w:tcPr>
          <w:p>
            <w:pPr>
              <w:ind w:left="1760"/>
              <w:spacing w:after="0"/>
              <w:rPr>
                <w:sz w:val="20"/>
                <w:szCs w:val="20"/>
                <w:color w:val="auto"/>
              </w:rPr>
            </w:pPr>
            <w:r>
              <w:rPr>
                <w:rFonts w:ascii="Times New Roman" w:cs="Times New Roman" w:eastAsia="Times New Roman" w:hAnsi="Times New Roman"/>
                <w:sz w:val="17"/>
                <w:szCs w:val="17"/>
                <w:color w:val="auto"/>
                <w:w w:val="97"/>
              </w:rPr>
              <w:t>By:</w:t>
            </w:r>
          </w:p>
        </w:tc>
        <w:tc>
          <w:tcPr>
            <w:tcW w:w="6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Michael Cloonan</w:t>
            </w:r>
          </w:p>
        </w:tc>
      </w:tr>
      <w:tr>
        <w:trPr>
          <w:trHeight w:val="222"/>
        </w:trPr>
        <w:tc>
          <w:tcPr>
            <w:tcW w:w="3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Michael Cloonan</w:t>
            </w:r>
          </w:p>
        </w:tc>
      </w:tr>
      <w:tr>
        <w:trPr>
          <w:trHeight w:val="280"/>
        </w:trPr>
        <w:tc>
          <w:tcPr>
            <w:tcW w:w="3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tc>
      </w:tr>
      <w:tr>
        <w:trPr>
          <w:trHeight w:val="261"/>
        </w:trPr>
        <w:tc>
          <w:tcPr>
            <w:tcW w:w="31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tc>
      </w:tr>
      <w:tr>
        <w:trPr>
          <w:trHeight w:val="888"/>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Date: March 2, 2026</w:t>
            </w:r>
          </w:p>
        </w:tc>
        <w:tc>
          <w:tcPr>
            <w:tcW w:w="2020" w:type="dxa"/>
            <w:vAlign w:val="bottom"/>
          </w:tcPr>
          <w:p>
            <w:pPr>
              <w:ind w:left="1760"/>
              <w:spacing w:after="0"/>
              <w:rPr>
                <w:sz w:val="20"/>
                <w:szCs w:val="20"/>
                <w:color w:val="auto"/>
              </w:rPr>
            </w:pPr>
            <w:r>
              <w:rPr>
                <w:rFonts w:ascii="Times New Roman" w:cs="Times New Roman" w:eastAsia="Times New Roman" w:hAnsi="Times New Roman"/>
                <w:sz w:val="17"/>
                <w:szCs w:val="17"/>
                <w:color w:val="auto"/>
                <w:w w:val="97"/>
              </w:rPr>
              <w:t>By:</w:t>
            </w:r>
          </w:p>
        </w:tc>
        <w:tc>
          <w:tcPr>
            <w:tcW w:w="6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Elena Ridloff</w:t>
            </w:r>
          </w:p>
        </w:tc>
      </w:tr>
      <w:tr>
        <w:trPr>
          <w:trHeight w:val="222"/>
        </w:trPr>
        <w:tc>
          <w:tcPr>
            <w:tcW w:w="3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Elena Ridloff</w:t>
            </w:r>
          </w:p>
        </w:tc>
      </w:tr>
      <w:tr>
        <w:trPr>
          <w:trHeight w:val="280"/>
        </w:trPr>
        <w:tc>
          <w:tcPr>
            <w:tcW w:w="3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Chief Financial Officer</w:t>
            </w:r>
          </w:p>
        </w:tc>
      </w:tr>
      <w:tr>
        <w:trPr>
          <w:trHeight w:val="248"/>
        </w:trPr>
        <w:tc>
          <w:tcPr>
            <w:tcW w:w="31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x"/>
      <w:numFmt w:val="bullet"/>
      <w:start w:val="1"/>
    </w:lvl>
  </w:abstractNum>
  <w:abstractNum w:abstractNumId="1">
    <w:nsid w:val="2463B9EA"/>
    <w:multiLevelType w:val="hybridMultilevel"/>
    <w:lvl w:ilvl="0">
      <w:lvlJc w:val="left"/>
      <w:lvlText w:val="o"/>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lvl w:ilvl="1">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lowerRoman"/>
      <w:start w:val="2"/>
    </w:lvl>
  </w:abstractNum>
  <w:abstractNum w:abstractNumId="11">
    <w:nsid w:val="1D4ED43B"/>
    <w:multiLevelType w:val="hybridMultilevel"/>
    <w:lvl w:ilvl="0">
      <w:lvlJc w:val="left"/>
      <w:lvlText w:val="(%1)"/>
      <w:numFmt w:val="lowerRoman"/>
      <w:start w:val="2"/>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decimal"/>
      <w:start w:val="2"/>
    </w:lvl>
  </w:abstractNum>
  <w:abstractNum w:abstractNumId="16">
    <w:nsid w:val="4B588F54"/>
    <w:multiLevelType w:val="hybridMultilevel"/>
    <w:lvl w:ilvl="0">
      <w:lvlJc w:val="left"/>
      <w:lvlText w:val="(%1)"/>
      <w:numFmt w:val="decimal"/>
      <w:start w:val="2"/>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lowerRoman"/>
      <w:start w:val="4"/>
    </w:lvl>
  </w:abstractNum>
  <w:abstractNum w:abstractNumId="49">
    <w:nsid w:val="7E0C57B1"/>
    <w:multiLevelType w:val="hybridMultilevel"/>
    <w:lvl w:ilvl="0">
      <w:lvlJc w:val="left"/>
      <w:lvlText w:val="(%1)"/>
      <w:numFmt w:val="lowerRoman"/>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2"/>
    </w:lvl>
  </w:abstractNum>
  <w:abstractNum w:abstractNumId="60">
    <w:nsid w:val="5DB70AE5"/>
    <w:multiLevelType w:val="hybridMultilevel"/>
    <w:lvl w:ilvl="0">
      <w:lvlJc w:val="left"/>
      <w:lvlText w:val="(%1)"/>
      <w:numFmt w:val="lowerRoman"/>
      <w:start w:val="3"/>
    </w:lvl>
  </w:abstractNum>
  <w:abstractNum w:abstractNumId="61">
    <w:nsid w:val="100F8FCA"/>
    <w:multiLevelType w:val="hybridMultilevel"/>
    <w:lvl w:ilvl="0">
      <w:lvlJc w:val="left"/>
      <w:lvlText w:val="%1."/>
      <w:numFmt w:val="decimal"/>
      <w:start w:val="8"/>
    </w:lvl>
  </w:abstractNum>
  <w:abstractNum w:abstractNumId="62">
    <w:nsid w:val="6590700B"/>
    <w:multiLevelType w:val="hybridMultilevel"/>
    <w:lvl w:ilvl="0">
      <w:lvlJc w:val="left"/>
      <w:lvlText w:val="%1."/>
      <w:numFmt w:val="decimal"/>
      <w:start w:val="9"/>
    </w:lvl>
  </w:abstractNum>
  <w:abstractNum w:abstractNumId="63">
    <w:nsid w:val="15014ACB"/>
    <w:multiLevelType w:val="hybridMultilevel"/>
    <w:lvl w:ilvl="0">
      <w:lvlJc w:val="left"/>
      <w:lvlText w:val="%1."/>
      <w:numFmt w:val="decimal"/>
      <w:start w:val="10"/>
    </w:lvl>
  </w:abstractNum>
  <w:abstractNum w:abstractNumId="64">
    <w:nsid w:val="5F5E7FD0"/>
    <w:multiLevelType w:val="hybridMultilevel"/>
    <w:lvl w:ilvl="0">
      <w:lvlJc w:val="left"/>
      <w:lvlText w:val="%1."/>
      <w:numFmt w:val="decimal"/>
      <w:start w:val="11"/>
    </w:lvl>
  </w:abstractNum>
  <w:abstractNum w:abstractNumId="65">
    <w:nsid w:val="98A3148"/>
    <w:multiLevelType w:val="hybridMultilevel"/>
    <w:lvl w:ilvl="0">
      <w:lvlJc w:val="left"/>
      <w:lvlText w:val="%1."/>
      <w:numFmt w:val="decimal"/>
      <w:start w:val="12"/>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lowerLetter"/>
      <w:start w:val="2"/>
    </w:lvl>
    <w:lvl w:ilvl="1">
      <w:lvlJc w:val="left"/>
      <w:lvlText w:val="+"/>
      <w:numFmt w:val="bullet"/>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04" Type="http://schemas.openxmlformats.org/officeDocument/2006/relationships/hyperlink" Target="https://www.sec.gov/Archives/edgar/data/2036042/000119312525023570/d886749dex31.htm" TargetMode="External"/><Relationship Id="rId205" Type="http://schemas.openxmlformats.org/officeDocument/2006/relationships/hyperlink" Target="https://www.sec.gov/Archives/edgar/data/2036042/000119312525023570/d886749dex32.htm" TargetMode="External"/><Relationship Id="rId206" Type="http://schemas.openxmlformats.org/officeDocument/2006/relationships/hyperlink" Target="https://www.sec.gov/Archives/edgar/data/2036042/000119312525008474/d882384dex41.htm" TargetMode="External"/><Relationship Id="rId207" Type="http://schemas.openxmlformats.org/officeDocument/2006/relationships/hyperlink" Target="https://www.sec.gov/Archives/edgar/data/2036042/000119312525008474/d882384dex42.htm" TargetMode="External"/><Relationship Id="rId208" Type="http://schemas.openxmlformats.org/officeDocument/2006/relationships/hyperlink" Target="https://www.sec.gov/Archives/edgar/data/2036042/000203604225000005/sionna-10xkxex43descriptio.htm" TargetMode="External"/><Relationship Id="rId209" Type="http://schemas.openxmlformats.org/officeDocument/2006/relationships/hyperlink" Target="https://www.sec.gov/Archives/edgar/data/2036042/000119312525008474/d882384dex101.htm" TargetMode="External"/><Relationship Id="rId210" Type="http://schemas.openxmlformats.org/officeDocument/2006/relationships/hyperlink" Target="https://www.sec.gov/Archives/edgar/data/2036042/000119312525018825/d882384dex102.htm" TargetMode="External"/><Relationship Id="rId211" Type="http://schemas.openxmlformats.org/officeDocument/2006/relationships/hyperlink" Target="https://www.sec.gov/Archives/edgar/data/2036042/000119312525018825/d882384dex103.htm" TargetMode="External"/><Relationship Id="rId212" Type="http://schemas.openxmlformats.org/officeDocument/2006/relationships/hyperlink" Target="https://www.sec.gov/Archives/edgar/data/2036042/000119312525018825/d882384dex104.htm" TargetMode="External"/><Relationship Id="rId213" Type="http://schemas.openxmlformats.org/officeDocument/2006/relationships/hyperlink" Target="https://www.sec.gov/Archives/edgar/data/2036042/000119312525018825/d882384dex105.htm" TargetMode="External"/><Relationship Id="rId214" Type="http://schemas.openxmlformats.org/officeDocument/2006/relationships/hyperlink" Target="https://www.sec.gov/Archives/edgar/data/2036042/000119312525018825/d882384dex106.htm" TargetMode="External"/><Relationship Id="rId215" Type="http://schemas.openxmlformats.org/officeDocument/2006/relationships/hyperlink" Target="https://www.sec.gov/Archives/edgar/data/2036042/000119312525008474/d882384dex109.htm" TargetMode="External"/><Relationship Id="rId218" Type="http://schemas.openxmlformats.org/officeDocument/2006/relationships/hyperlink" Target="https://www.sec.gov/Archives/edgar/data/2036042/000119312525008474/d882384dex1010.htm" TargetMode="External"/><Relationship Id="rId219" Type="http://schemas.openxmlformats.org/officeDocument/2006/relationships/hyperlink" Target="https://www.sec.gov/Archives/edgar/data/2036042/000119312525008474/d882384dex1011.htm" TargetMode="External"/><Relationship Id="rId220" Type="http://schemas.openxmlformats.org/officeDocument/2006/relationships/hyperlink" Target="https://www.sec.gov/Archives/edgar/data/2036042/000119312525008474/d882384dex1012.htm" TargetMode="External"/><Relationship Id="rId221" Type="http://schemas.openxmlformats.org/officeDocument/2006/relationships/hyperlink" Target="https://www.sec.gov/Archives/edgar/data/2036042/000119312525008474/d882384dex1013.htm" TargetMode="External"/><Relationship Id="rId222" Type="http://schemas.openxmlformats.org/officeDocument/2006/relationships/hyperlink" Target="https://www.sec.gov/Archives/edgar/data/2036042/000119312525008474/d882384dex1014.htm" TargetMode="External"/><Relationship Id="rId223" Type="http://schemas.openxmlformats.org/officeDocument/2006/relationships/hyperlink" Target="https://www.sec.gov/Archives/edgar/data/2036042/000119312525008474/d882384dex1015.htm" TargetMode="External"/><Relationship Id="rId224" Type="http://schemas.openxmlformats.org/officeDocument/2006/relationships/hyperlink" Target="https://www.sec.gov/Archives/edgar/data/2036042/000203604225000005/sionna-10xkxex191insidertr.htm" TargetMode="External"/><Relationship Id="rId225" Type="http://schemas.openxmlformats.org/officeDocument/2006/relationships/hyperlink" Target="https://www.sec.gov/Archives/edgar/data/2036042/000119312525008474/d882384dex211.htm" TargetMode="External"/><Relationship Id="rId226" Type="http://schemas.openxmlformats.org/officeDocument/2006/relationships/hyperlink" Target="https://www.sec.gov/Archives/edgar/data/2036042/000119312525018825/d882384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2026-03-02T06:26:17Z</dcterms:created>
  <dcterms:modified xsi:type="dcterms:W3CDTF">2026-03-02T06:26:17Z</dcterms:modified>
</cp:coreProperties>
</file>