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Clancy Paul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SIONNA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 HICKORY DRIVE,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Sionna Therapeutics, Inc.</w:t>
              </w:r>
            </w:hyperlink>
            <w:r>
              <w:rPr/>
              <w:t xml:space="preserve"> [ </w:t>
            </w:r>
            <w:r>
              <w:rPr>
                <w:rFonts w:ascii="Times;serif" w:hAnsi="Times;serif"/>
                <w:color w:val="0000FF"/>
                <w:sz w:val="24"/>
                <w:shd w:fill="FFFFFF" w:val="clear"/>
              </w:rPr>
              <w:t>SION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39"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5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36.73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17,340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17,340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vests in full upon the earlier of June 17, 2027 or the date of the next annual meeting of Sionna Therapeutics, Inc., subject to the Reporting Person's continued service on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Jennifer Fitzpatrick, Attorney-in-Fact For: Paul Clancy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9601" TargetMode="External"/><Relationship Id="rId5" Type="http://schemas.openxmlformats.org/officeDocument/2006/relationships/hyperlink" Target="http://www.sec.gov/cgi-bin/browse-edgar?action=getcompany&amp;CIK=00020360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3311</Characters>
  <CharactersWithSpaces>3859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