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2026</w:t>
      </w:r>
    </w:p>
    <w:p>
      <w:pPr>
        <w:spacing w:after="0" w:line="44"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SIONNA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67" w:lineRule="exact"/>
        <w:rPr>
          <w:sz w:val="24"/>
          <w:szCs w:val="24"/>
          <w:color w:val="auto"/>
        </w:rPr>
      </w:pPr>
    </w:p>
    <w:tbl>
      <w:tblPr>
        <w:tblLayout w:type="fixed"/>
        <w:tblInd w:w="1300" w:type="dxa"/>
        <w:tblCellMar>
          <w:top w:w="0" w:type="dxa"/>
          <w:left w:w="0" w:type="dxa"/>
          <w:bottom w:w="0" w:type="dxa"/>
          <w:right w:w="0" w:type="dxa"/>
        </w:tblCellMar>
      </w:tblPr>
      <w:tr>
        <w:trPr>
          <w:trHeight w:val="265"/>
        </w:trPr>
        <w:tc>
          <w:tcPr>
            <w:tcW w:w="1980" w:type="dxa"/>
            <w:vAlign w:val="bottom"/>
          </w:tcPr>
          <w:p>
            <w:pPr>
              <w:jc w:val="center"/>
              <w:ind w:right="24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2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001-42504</w:t>
            </w:r>
          </w:p>
        </w:tc>
        <w:tc>
          <w:tcPr>
            <w:tcW w:w="1580" w:type="dxa"/>
            <w:vAlign w:val="bottom"/>
          </w:tcPr>
          <w:p>
            <w:pPr>
              <w:jc w:val="center"/>
              <w:ind w:left="362"/>
              <w:spacing w:after="0"/>
              <w:rPr>
                <w:sz w:val="20"/>
                <w:szCs w:val="20"/>
                <w:color w:val="auto"/>
              </w:rPr>
            </w:pPr>
            <w:r>
              <w:rPr>
                <w:rFonts w:ascii="Times New Roman" w:cs="Times New Roman" w:eastAsia="Times New Roman" w:hAnsi="Times New Roman"/>
                <w:sz w:val="18"/>
                <w:szCs w:val="18"/>
                <w:b w:val="1"/>
                <w:bCs w:val="1"/>
                <w:color w:val="auto"/>
                <w:w w:val="98"/>
              </w:rPr>
              <w:t>84-2801521</w:t>
            </w:r>
          </w:p>
        </w:tc>
      </w:tr>
      <w:tr>
        <w:trPr>
          <w:trHeight w:val="178"/>
        </w:trPr>
        <w:tc>
          <w:tcPr>
            <w:tcW w:w="1980" w:type="dxa"/>
            <w:vAlign w:val="bottom"/>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58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98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8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1980" w:type="dxa"/>
            <w:vAlign w:val="bottom"/>
          </w:tcPr>
          <w:p>
            <w:pPr>
              <w:spacing w:after="0"/>
              <w:rPr>
                <w:sz w:val="24"/>
                <w:szCs w:val="24"/>
                <w:color w:val="auto"/>
              </w:rPr>
            </w:pPr>
          </w:p>
        </w:tc>
        <w:tc>
          <w:tcPr>
            <w:tcW w:w="482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SIONNA THERAPEUTICS, INC.</w:t>
            </w:r>
          </w:p>
        </w:tc>
        <w:tc>
          <w:tcPr>
            <w:tcW w:w="1580" w:type="dxa"/>
            <w:vAlign w:val="bottom"/>
          </w:tcPr>
          <w:p>
            <w:pPr>
              <w:spacing w:after="0"/>
              <w:rPr>
                <w:sz w:val="24"/>
                <w:szCs w:val="24"/>
                <w:color w:val="auto"/>
              </w:rPr>
            </w:pPr>
          </w:p>
        </w:tc>
      </w:tr>
      <w:tr>
        <w:trPr>
          <w:trHeight w:val="216"/>
        </w:trPr>
        <w:tc>
          <w:tcPr>
            <w:tcW w:w="1980" w:type="dxa"/>
            <w:vAlign w:val="bottom"/>
          </w:tcPr>
          <w:p>
            <w:pPr>
              <w:spacing w:after="0"/>
              <w:rPr>
                <w:sz w:val="18"/>
                <w:szCs w:val="18"/>
                <w:color w:val="auto"/>
              </w:rPr>
            </w:pPr>
          </w:p>
        </w:tc>
        <w:tc>
          <w:tcPr>
            <w:tcW w:w="482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21 Hickory Drive, Suite 500</w:t>
            </w:r>
          </w:p>
        </w:tc>
        <w:tc>
          <w:tcPr>
            <w:tcW w:w="1580" w:type="dxa"/>
            <w:vAlign w:val="bottom"/>
          </w:tcPr>
          <w:p>
            <w:pPr>
              <w:spacing w:after="0"/>
              <w:rPr>
                <w:sz w:val="18"/>
                <w:szCs w:val="18"/>
                <w:color w:val="auto"/>
              </w:rPr>
            </w:pPr>
          </w:p>
        </w:tc>
      </w:tr>
      <w:tr>
        <w:trPr>
          <w:trHeight w:val="214"/>
        </w:trPr>
        <w:tc>
          <w:tcPr>
            <w:tcW w:w="1980" w:type="dxa"/>
            <w:vAlign w:val="bottom"/>
          </w:tcPr>
          <w:p>
            <w:pPr>
              <w:spacing w:after="0"/>
              <w:rPr>
                <w:sz w:val="18"/>
                <w:szCs w:val="18"/>
                <w:color w:val="auto"/>
              </w:rPr>
            </w:pPr>
          </w:p>
        </w:tc>
        <w:tc>
          <w:tcPr>
            <w:tcW w:w="482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Waltham, MA02451</w:t>
            </w:r>
          </w:p>
        </w:tc>
        <w:tc>
          <w:tcPr>
            <w:tcW w:w="1580" w:type="dxa"/>
            <w:vAlign w:val="bottom"/>
          </w:tcPr>
          <w:p>
            <w:pPr>
              <w:spacing w:after="0"/>
              <w:rPr>
                <w:sz w:val="18"/>
                <w:szCs w:val="18"/>
                <w:color w:val="auto"/>
              </w:rPr>
            </w:pPr>
          </w:p>
        </w:tc>
      </w:tr>
      <w:tr>
        <w:trPr>
          <w:trHeight w:val="190"/>
        </w:trPr>
        <w:tc>
          <w:tcPr>
            <w:tcW w:w="1980" w:type="dxa"/>
            <w:vAlign w:val="bottom"/>
          </w:tcPr>
          <w:p>
            <w:pPr>
              <w:spacing w:after="0"/>
              <w:rPr>
                <w:sz w:val="16"/>
                <w:szCs w:val="16"/>
                <w:color w:val="auto"/>
              </w:rPr>
            </w:pPr>
          </w:p>
        </w:tc>
        <w:tc>
          <w:tcPr>
            <w:tcW w:w="4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580" w:type="dxa"/>
            <w:vAlign w:val="bottom"/>
          </w:tcPr>
          <w:p>
            <w:pPr>
              <w:spacing w:after="0"/>
              <w:rPr>
                <w:sz w:val="16"/>
                <w:szCs w:val="16"/>
                <w:color w:val="auto"/>
              </w:rPr>
            </w:pPr>
          </w:p>
        </w:tc>
      </w:tr>
      <w:tr>
        <w:trPr>
          <w:trHeight w:val="350"/>
        </w:trPr>
        <w:tc>
          <w:tcPr>
            <w:tcW w:w="1980" w:type="dxa"/>
            <w:vAlign w:val="bottom"/>
          </w:tcPr>
          <w:p>
            <w:pPr>
              <w:spacing w:after="0"/>
              <w:rPr>
                <w:sz w:val="24"/>
                <w:szCs w:val="24"/>
                <w:color w:val="auto"/>
              </w:rPr>
            </w:pPr>
          </w:p>
        </w:tc>
        <w:tc>
          <w:tcPr>
            <w:tcW w:w="482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617-819-2020</w:t>
            </w:r>
          </w:p>
        </w:tc>
        <w:tc>
          <w:tcPr>
            <w:tcW w:w="1580" w:type="dxa"/>
            <w:vAlign w:val="bottom"/>
          </w:tcPr>
          <w:p>
            <w:pPr>
              <w:spacing w:after="0"/>
              <w:rPr>
                <w:sz w:val="24"/>
                <w:szCs w:val="24"/>
                <w:color w:val="auto"/>
              </w:rPr>
            </w:pPr>
          </w:p>
        </w:tc>
      </w:tr>
      <w:tr>
        <w:trPr>
          <w:trHeight w:val="190"/>
        </w:trPr>
        <w:tc>
          <w:tcPr>
            <w:tcW w:w="1980" w:type="dxa"/>
            <w:vAlign w:val="bottom"/>
          </w:tcPr>
          <w:p>
            <w:pPr>
              <w:spacing w:after="0"/>
              <w:rPr>
                <w:sz w:val="16"/>
                <w:szCs w:val="16"/>
                <w:color w:val="auto"/>
              </w:rPr>
            </w:pPr>
          </w:p>
        </w:tc>
        <w:tc>
          <w:tcPr>
            <w:tcW w:w="4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80" w:type="dxa"/>
            <w:vAlign w:val="bottom"/>
          </w:tcPr>
          <w:p>
            <w:pPr>
              <w:spacing w:after="0"/>
              <w:rPr>
                <w:sz w:val="16"/>
                <w:szCs w:val="16"/>
                <w:color w:val="auto"/>
              </w:rPr>
            </w:pPr>
          </w:p>
        </w:tc>
      </w:tr>
      <w:tr>
        <w:trPr>
          <w:trHeight w:val="336"/>
        </w:trPr>
        <w:tc>
          <w:tcPr>
            <w:tcW w:w="1980" w:type="dxa"/>
            <w:vAlign w:val="bottom"/>
          </w:tcPr>
          <w:p>
            <w:pPr>
              <w:spacing w:after="0"/>
              <w:rPr>
                <w:sz w:val="24"/>
                <w:szCs w:val="24"/>
                <w:color w:val="auto"/>
              </w:rPr>
            </w:pPr>
          </w:p>
        </w:tc>
        <w:tc>
          <w:tcPr>
            <w:tcW w:w="482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580" w:type="dxa"/>
            <w:vAlign w:val="bottom"/>
          </w:tcPr>
          <w:p>
            <w:pPr>
              <w:spacing w:after="0"/>
              <w:rPr>
                <w:sz w:val="24"/>
                <w:szCs w:val="24"/>
                <w:color w:val="auto"/>
              </w:rPr>
            </w:pPr>
          </w:p>
        </w:tc>
      </w:tr>
      <w:tr>
        <w:trPr>
          <w:trHeight w:val="190"/>
        </w:trPr>
        <w:tc>
          <w:tcPr>
            <w:tcW w:w="1980" w:type="dxa"/>
            <w:vAlign w:val="bottom"/>
          </w:tcPr>
          <w:p>
            <w:pPr>
              <w:spacing w:after="0"/>
              <w:rPr>
                <w:sz w:val="16"/>
                <w:szCs w:val="16"/>
                <w:color w:val="auto"/>
              </w:rPr>
            </w:pPr>
          </w:p>
        </w:tc>
        <w:tc>
          <w:tcPr>
            <w:tcW w:w="48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580" w:type="dxa"/>
            <w:vAlign w:val="bottom"/>
          </w:tcPr>
          <w:p>
            <w:pPr>
              <w:spacing w:after="0"/>
              <w:rPr>
                <w:sz w:val="16"/>
                <w:szCs w:val="16"/>
                <w:color w:val="auto"/>
              </w:rPr>
            </w:pPr>
          </w:p>
        </w:tc>
      </w:tr>
    </w:tbl>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0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4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4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r>
      <w:tr>
        <w:trPr>
          <w:trHeight w:val="236"/>
        </w:trPr>
        <w:tc>
          <w:tcPr>
            <w:tcW w:w="4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SION</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71"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June 17, 2026, Sionna Therapeutics, Inc. (the "Company") held its Annual Meeting of Stockholders, at which a quorum was present. There were 45,142,330 shares of the Company's common stock outstanding as of the record date of April 21, 2026.</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are the voting results for the proposals considered and voted upon at the meeting, which are described in detail in the Company's Definitive Proxy Statement filed with the Securities and Exchange Commission on April 27, 2026.</w:t>
      </w:r>
    </w:p>
    <w:p>
      <w:pPr>
        <w:spacing w:after="0" w:line="162" w:lineRule="exact"/>
        <w:rPr>
          <w:sz w:val="20"/>
          <w:szCs w:val="20"/>
          <w:color w:val="auto"/>
        </w:rPr>
      </w:pPr>
    </w:p>
    <w:p>
      <w:pPr>
        <w:ind w:left="660" w:right="340" w:hanging="328"/>
        <w:spacing w:after="0" w:line="27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four nominees as Class II directors: H. Edward Fleming, Jr., M.D., Marcella Kuhlman Ruddy, M.D., Peter A. Thompson, M.D., and Joanne Louise Viney, Ph.D., each to hold office until the Company's Annual Meeting of Stockholders in 2029.</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3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Edward Fleming, Jr.</w:t>
            </w:r>
          </w:p>
        </w:tc>
        <w:tc>
          <w:tcPr>
            <w:tcW w:w="2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42,168,569</w:t>
            </w:r>
          </w:p>
        </w:tc>
        <w:tc>
          <w:tcPr>
            <w:tcW w:w="2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40,021</w:t>
            </w:r>
          </w:p>
        </w:tc>
        <w:tc>
          <w:tcPr>
            <w:tcW w:w="2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1,084,330</w:t>
            </w: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Marcella Kuhlman Ruddy</w:t>
            </w:r>
          </w:p>
        </w:tc>
        <w:tc>
          <w:tcPr>
            <w:tcW w:w="2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40,270,279</w:t>
            </w:r>
          </w:p>
        </w:tc>
        <w:tc>
          <w:tcPr>
            <w:tcW w:w="2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1,938,311</w:t>
            </w:r>
          </w:p>
        </w:tc>
        <w:tc>
          <w:tcPr>
            <w:tcW w:w="2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1,084,330</w:t>
            </w:r>
          </w:p>
        </w:tc>
      </w:tr>
      <w:tr>
        <w:trPr>
          <w:trHeight w:val="23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A. Thompson</w:t>
            </w:r>
          </w:p>
        </w:tc>
        <w:tc>
          <w:tcPr>
            <w:tcW w:w="2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39,862,185</w:t>
            </w:r>
          </w:p>
        </w:tc>
        <w:tc>
          <w:tcPr>
            <w:tcW w:w="2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2,346,405</w:t>
            </w:r>
          </w:p>
        </w:tc>
        <w:tc>
          <w:tcPr>
            <w:tcW w:w="2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1,084,330</w:t>
            </w: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Joanne Louise Viney</w:t>
            </w:r>
          </w:p>
        </w:tc>
        <w:tc>
          <w:tcPr>
            <w:tcW w:w="2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41,931,706</w:t>
            </w:r>
          </w:p>
        </w:tc>
        <w:tc>
          <w:tcPr>
            <w:tcW w:w="2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276,884</w:t>
            </w:r>
          </w:p>
        </w:tc>
        <w:tc>
          <w:tcPr>
            <w:tcW w:w="2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1,084,330</w:t>
            </w:r>
          </w:p>
        </w:tc>
      </w:tr>
    </w:tbl>
    <w:p>
      <w:pPr>
        <w:spacing w:after="0" w:line="292" w:lineRule="exact"/>
        <w:rPr>
          <w:sz w:val="20"/>
          <w:szCs w:val="20"/>
          <w:color w:val="auto"/>
        </w:rPr>
      </w:pPr>
    </w:p>
    <w:p>
      <w:pPr>
        <w:ind w:left="660" w:right="1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the Company's independent registered public accounting firm for the fiscal year ending December 31, 2026.</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34"/>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43,291,215</w:t>
            </w:r>
          </w:p>
        </w:tc>
        <w:tc>
          <w:tcPr>
            <w:tcW w:w="2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1,198</w:t>
            </w:r>
          </w:p>
        </w:tc>
        <w:tc>
          <w:tcPr>
            <w:tcW w:w="2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507</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votes, each of the nominees was elected as a Class II director and the appointment of Deloitte &amp; Touche LLP was ratified.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4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Sionna Therapeutics, Inc.</w:t>
            </w:r>
          </w:p>
        </w:tc>
        <w:tc>
          <w:tcPr>
            <w:tcW w:w="0" w:type="dxa"/>
            <w:vAlign w:val="bottom"/>
          </w:tcPr>
          <w:p>
            <w:pPr>
              <w:spacing w:after="0"/>
              <w:rPr>
                <w:sz w:val="1"/>
                <w:szCs w:val="1"/>
                <w:color w:val="auto"/>
              </w:rPr>
            </w:pPr>
          </w:p>
        </w:tc>
      </w:tr>
      <w:tr>
        <w:trPr>
          <w:trHeight w:val="47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Jennifer Fitzpatrick</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620" w:type="dxa"/>
            <w:vAlign w:val="bottom"/>
            <w:vMerge w:val="restart"/>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5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620" w:type="dxa"/>
            <w:vAlign w:val="bottom"/>
            <w:vMerge w:val="continue"/>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Fitzpatrick</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2026-06-18T15:11:17Z</dcterms:created>
  <dcterms:modified xsi:type="dcterms:W3CDTF">2026-06-18T15:11:17Z</dcterms:modified>
</cp:coreProperties>
</file>