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Peter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Sionna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SIONNA THERAPEUTICS, INC.</w:t>
            </w: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 HICKORY DRIVE SUITE 500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05/07/2026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48,546</w:t>
            </w:r>
            <w:r>
              <w:rPr>
                <w:rFonts w:ascii="Times New Roman" w:cs="Times New Roman" w:eastAsia="Times New Roman" w:hAnsi="Times New Roman"/>
                <w:sz w:val="22"/>
                <w:szCs w:val="22"/>
                <w:color w:val="008000"/>
                <w:w w:val="93"/>
                <w:vertAlign w:val="superscript"/>
              </w:rPr>
              <w:t>(1)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44.61</w:t>
            </w:r>
          </w:p>
        </w:tc>
        <w:tc>
          <w:tcPr>
            <w:tcW w:w="15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2,916,228</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320"/>
              <w:spacing w:after="0"/>
              <w:rPr>
                <w:sz w:val="20"/>
                <w:szCs w:val="20"/>
                <w:color w:val="auto"/>
              </w:rPr>
            </w:pPr>
            <w:r>
              <w:rPr>
                <w:rFonts w:ascii="Times New Roman" w:cs="Times New Roman" w:eastAsia="Times New Roman" w:hAnsi="Times New Roman"/>
                <w:sz w:val="17"/>
                <w:szCs w:val="17"/>
                <w:color w:val="0000FF"/>
              </w:rPr>
              <w:t>05/08/2026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59,767</w:t>
            </w:r>
            <w:r>
              <w:rPr>
                <w:rFonts w:ascii="Times New Roman" w:cs="Times New Roman" w:eastAsia="Times New Roman" w:hAnsi="Times New Roman"/>
                <w:sz w:val="22"/>
                <w:szCs w:val="22"/>
                <w:color w:val="008000"/>
                <w:w w:val="93"/>
                <w:vertAlign w:val="superscript"/>
              </w:rPr>
              <w:t>(1)</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44.58</w:t>
            </w:r>
          </w:p>
        </w:tc>
        <w:tc>
          <w:tcPr>
            <w:tcW w:w="1540" w:type="dxa"/>
            <w:vAlign w:val="bottom"/>
            <w:tcBorders>
              <w:top w:val="single" w:sz="8" w:color="2C2C2C"/>
            </w:tcBorders>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2,856,461</w:t>
            </w:r>
          </w:p>
        </w:tc>
        <w:tc>
          <w:tcPr>
            <w:tcW w:w="2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320"/>
              <w:spacing w:after="0"/>
              <w:rPr>
                <w:sz w:val="20"/>
                <w:szCs w:val="20"/>
                <w:color w:val="auto"/>
              </w:rPr>
            </w:pPr>
            <w:r>
              <w:rPr>
                <w:rFonts w:ascii="Times New Roman" w:cs="Times New Roman" w:eastAsia="Times New Roman" w:hAnsi="Times New Roman"/>
                <w:sz w:val="17"/>
                <w:szCs w:val="17"/>
                <w:color w:val="0000FF"/>
              </w:rPr>
              <w:t>05/11/2026</w:t>
            </w: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184,639</w:t>
            </w:r>
            <w:r>
              <w:rPr>
                <w:rFonts w:ascii="Times New Roman" w:cs="Times New Roman" w:eastAsia="Times New Roman" w:hAnsi="Times New Roman"/>
                <w:sz w:val="22"/>
                <w:szCs w:val="22"/>
                <w:color w:val="008000"/>
                <w:w w:val="93"/>
                <w:vertAlign w:val="superscript"/>
              </w:rPr>
              <w:t>(1)</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46.22</w:t>
            </w:r>
          </w:p>
        </w:tc>
        <w:tc>
          <w:tcPr>
            <w:tcW w:w="1540" w:type="dxa"/>
            <w:vAlign w:val="bottom"/>
            <w:tcBorders>
              <w:top w:val="single" w:sz="8" w:color="2C2C2C"/>
            </w:tcBorders>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2,671,822</w:t>
            </w:r>
          </w:p>
        </w:tc>
        <w:tc>
          <w:tcPr>
            <w:tcW w:w="2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6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sold pursuant to a 10b5-1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and investment power with respect to the shares held by OPI VIII and as a result may be deemed to have beneficial ownership of such shares. OrbiMed Advisors exercises investment and voting power through a management committee comprised of Carl L. Gordon, Sven H. Borho, and W. Carter Neild, each of whom disclaims beneficial ownership of the shares held by OPI VIII. The Reporting Person is a member of OrbiMed Advisors.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and GP VIII disclaims beneficial ownership of the securities reported herein for purposes of Rule 16a-1(a) under the Securities Exchange Act of 1934, as amended (the "Exchange Act"), except to the extent of its pecuniary interest therein, if any. This report shall not be deemed an admission that any such entity or person is a beneficial owner of such securities for purposes of Section 16 of the Exchange Act,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A. Thompson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05/11/2026</w:t>
            </w:r>
          </w:p>
        </w:tc>
      </w:tr>
      <w:tr>
        <w:trPr>
          <w:trHeight w:val="20"/>
        </w:trPr>
        <w:tc>
          <w:tcPr>
            <w:tcW w:w="1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7522" TargetMode="External"/><Relationship Id="rId14" Type="http://schemas.openxmlformats.org/officeDocument/2006/relationships/hyperlink" Target="http://www.sec.gov/cgi-bin/browse-edgar?action=getcompany&amp;CIK=000203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2026-05-11T18:15:00Z</dcterms:created>
  <dcterms:modified xsi:type="dcterms:W3CDTF">2026-05-11T18:15:00Z</dcterms:modified>
</cp:coreProperties>
</file>