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21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Stelzer Laurie</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Sionna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SION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SIONNA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 HICKORY DRIVE, SUITE 500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17,340</w:t>
            </w:r>
          </w:p>
        </w:tc>
        <w:tc>
          <w:tcPr>
            <w:tcW w:w="28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17,340</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17,340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vests in full upon the earlier of June 17, 2027 or the date of the next annual meeting of Sionna Therapeutics, Inc., subject to the Reporting Person's continued service on such vesting date.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Jennifer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37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Laurie</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Stelzer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4348" TargetMode="External"/><Relationship Id="rId14" Type="http://schemas.openxmlformats.org/officeDocument/2006/relationships/hyperlink" Target="http://www.sec.gov/cgi-bin/browse-edgar?action=getcompany&amp;CIK=000203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2026-06-18T16:59:28Z</dcterms:created>
  <dcterms:modified xsi:type="dcterms:W3CDTF">2026-06-18T16:59:28Z</dcterms:modified>
</cp:coreProperties>
</file>