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280"/>
        <w:jc w:val="center"/>
        <w:rPr>
          <w:rFonts w:ascii="Arial;sans-serif" w:hAnsi="Arial;sans-serif"/>
          <w:b/>
          <w:color w:val="000000"/>
          <w:sz w:val="24"/>
        </w:rPr>
      </w:pPr>
      <w:r>
        <w:rPr>
          <w:rFonts w:ascii="Arial;sans-serif" w:hAnsi="Arial;sans-serif"/>
          <w:b/>
          <w:color w:val="000000"/>
          <w:sz w:val="24"/>
        </w:rPr>
        <w:t>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FORM 10-Q</w:t>
      </w:r>
    </w:p>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_________________________</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(Mark One)</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16"/>
              </w:rPr>
            </w:pPr>
            <w:r>
              <w:rPr>
                <w:rFonts w:ascii="Wingdings;sans-serif" w:hAnsi="Wingdings;sans-serif"/>
                <w:b/>
                <w:color w:val="000000"/>
                <w:sz w:val="16"/>
              </w:rPr>
              <w:t>x</w:t>
            </w:r>
          </w:p>
        </w:tc>
        <w:tc>
          <w:tcPr>
            <w:tcW w:w="8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QUARTERLY REPORT PURSUANT TO SECTION 13 OR 15(d) OF THE SECURITIES EXCHANGE ACT OF 1934 </w:t>
            </w:r>
          </w:p>
        </w:tc>
      </w:tr>
    </w:tbl>
    <w:p>
      <w:pPr>
        <w:pStyle w:val="TextBody"/>
        <w:bidi w:val="0"/>
        <w:spacing w:lineRule="auto" w:line="288" w:before="0" w:after="120"/>
        <w:jc w:val="left"/>
        <w:rPr>
          <w:rFonts w:ascii="Arial;sans-serif" w:hAnsi="Arial;sans-serif"/>
          <w:b/>
          <w:color w:val="000000"/>
          <w:sz w:val="16"/>
        </w:rPr>
      </w:pPr>
      <w:r>
        <w:rPr>
          <w:rFonts w:ascii="Arial;sans-serif" w:hAnsi="Arial;sans-serif"/>
          <w:b/>
          <w:color w:val="000000"/>
          <w:sz w:val="16"/>
        </w:rPr>
        <w:t>For the quarterly period ended June 30, 2026</w:t>
      </w:r>
    </w:p>
    <w:p>
      <w:pPr>
        <w:pStyle w:val="TextBody"/>
        <w:bidi w:val="0"/>
        <w:spacing w:lineRule="auto" w:line="288" w:before="0" w:after="240"/>
        <w:jc w:val="center"/>
        <w:rPr>
          <w:rFonts w:ascii="Arial;sans-serif" w:hAnsi="Arial;sans-serif"/>
          <w:b/>
          <w:color w:val="000000"/>
          <w:sz w:val="16"/>
        </w:rPr>
      </w:pPr>
      <w:r>
        <w:rPr>
          <w:rFonts w:ascii="Arial;sans-serif" w:hAnsi="Arial;sans-serif"/>
          <w:b/>
          <w:color w:val="000000"/>
          <w:sz w:val="16"/>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16"/>
              </w:rPr>
            </w:pPr>
            <w:r>
              <w:rPr>
                <w:rFonts w:ascii="Wingdings;sans-serif" w:hAnsi="Wingdings;sans-serif"/>
                <w:b/>
                <w:color w:val="000000"/>
                <w:sz w:val="16"/>
              </w:rPr>
              <w:t>o</w:t>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180"/>
        <w:jc w:val="left"/>
        <w:rPr>
          <w:rFonts w:ascii="Arial;sans-serif" w:hAnsi="Arial;sans-serif"/>
          <w:b/>
          <w:color w:val="000000"/>
          <w:sz w:val="16"/>
        </w:rPr>
      </w:pPr>
      <w:r>
        <w:rPr>
          <w:rFonts w:ascii="Arial;sans-serif" w:hAnsi="Arial;sans-serif"/>
          <w:b/>
          <w:color w:val="000000"/>
          <w:sz w:val="16"/>
        </w:rPr>
        <w:t>For the transition period from _____ to _____</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 file number 001-42504</w:t>
      </w:r>
    </w:p>
    <w:p>
      <w:pPr>
        <w:pStyle w:val="TextBody"/>
        <w:bidi w:val="0"/>
        <w:spacing w:lineRule="auto" w:line="288" w:before="0" w:after="200"/>
        <w:jc w:val="center"/>
        <w:rPr>
          <w:rFonts w:ascii="Arial;sans-serif" w:hAnsi="Arial;sans-serif"/>
          <w:b/>
          <w:color w:val="000000"/>
          <w:sz w:val="28"/>
        </w:rPr>
      </w:pPr>
      <w:r>
        <w:rPr>
          <w:rFonts w:ascii="Arial;sans-serif" w:hAnsi="Arial;sans-serif"/>
          <w:b/>
          <w:color w:val="000000"/>
          <w:sz w:val="28"/>
        </w:rPr>
        <w:t>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SIONNA THERAPEUTICS,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200"/>
        <w:jc w:val="center"/>
        <w:rPr>
          <w:rFonts w:ascii="Arial;sans-serif" w:hAnsi="Arial;sans-serif"/>
          <w:b/>
          <w:color w:val="000000"/>
          <w:sz w:val="28"/>
        </w:rPr>
      </w:pPr>
      <w:r>
        <w:rPr>
          <w:rFonts w:ascii="Arial;sans-serif" w:hAnsi="Arial;sans-serif"/>
          <w:b/>
          <w:color w:val="000000"/>
          <w:sz w:val="28"/>
        </w:rPr>
        <w:t>_________________________</w:t>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84-2801521</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21 Hickory Drive, Suite 500, Waltham, MA</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02451</w:t>
            </w:r>
          </w:p>
        </w:tc>
      </w:tr>
      <w:tr>
        <w:trPr/>
        <w:tc>
          <w:tcPr>
            <w:tcW w:w="43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(617) 819-2020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32" w:type="dxa"/>
        <w:jc w:val="left"/>
        <w:tblInd w:w="0" w:type="dxa"/>
        <w:tblLayout w:type="fixed"/>
        <w:tblCellMar>
          <w:top w:w="28" w:type="dxa"/>
          <w:left w:w="28" w:type="dxa"/>
          <w:bottom w:w="28" w:type="dxa"/>
          <w:right w:w="28" w:type="dxa"/>
        </w:tblCellMar>
      </w:tblPr>
      <w:tblGrid>
        <w:gridCol w:w="1192"/>
        <w:gridCol w:w="1047"/>
        <w:gridCol w:w="1060"/>
        <w:gridCol w:w="524"/>
        <w:gridCol w:w="524"/>
        <w:gridCol w:w="526"/>
        <w:gridCol w:w="1071"/>
        <w:gridCol w:w="1071"/>
        <w:gridCol w:w="1517"/>
      </w:tblGrid>
      <w:tr>
        <w:trPr/>
        <w:tc>
          <w:tcPr>
            <w:tcW w:w="11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Common Stock, $0.001 par value per share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SION</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The Nasdaq Global Market</w:t>
            </w:r>
          </w:p>
        </w:tc>
      </w:tr>
    </w:tbl>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sans-serif" w:hAnsi="Arial;sans-serif"/>
          <w:b w:val="false"/>
          <w:color w:val="000000"/>
          <w:sz w:val="16"/>
          <w:shd w:fill="FFFFFF" w:val="clear"/>
        </w:rPr>
        <w:t xml:space="preserve">Yes </w:t>
      </w:r>
      <w:r>
        <w:rPr>
          <w:rFonts w:ascii="Wingdings;sans-serif" w:hAnsi="Wingdings;sans-serif"/>
          <w:b w:val="false"/>
          <w:color w:val="000000"/>
          <w:sz w:val="16"/>
        </w:rPr>
        <w:t>x</w:t>
      </w:r>
      <w:r>
        <w:rPr>
          <w:color w:val="000000"/>
          <w:shd w:fill="FFFFFF" w:val="clear"/>
        </w:rPr>
        <w:t xml:space="preserve"> </w:t>
      </w:r>
      <w:r>
        <w:rPr>
          <w:rFonts w:ascii="Arial;sans-serif" w:hAnsi="Arial;sans-serif"/>
          <w:b w:val="false"/>
          <w:color w:val="000000"/>
          <w:sz w:val="16"/>
          <w:shd w:fill="FFFFFF" w:val="clear"/>
        </w:rPr>
        <w:t xml:space="preserve">No </w:t>
      </w:r>
      <w:r>
        <w:rPr>
          <w:rFonts w:ascii="Wingdings;sans-serif" w:hAnsi="Wingdings;sans-serif"/>
          <w:b w:val="false"/>
          <w:color w:val="000000"/>
          <w:sz w:val="16"/>
          <w:shd w:fill="FFFFFF" w:val="clear"/>
        </w:rPr>
        <w:t>o</w:t>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180"/>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6"/>
        </w:rPr>
        <w:t>o</w:t>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0"/>
        <w:jc w:val="left"/>
        <w:rPr/>
      </w:pPr>
      <w:r>
        <w:rPr>
          <w:rFonts w:ascii="Arial;sans-serif" w:hAnsi="Arial;sans-serif"/>
          <w:b w:val="false"/>
          <w:color w:val="000000"/>
          <w:sz w:val="16"/>
        </w:rPr>
        <w:t>The number of shares of registrant’s common stock outstanding as o</w:t>
      </w:r>
      <w:r>
        <w:rPr>
          <w:rFonts w:ascii="Arial;sans-serif" w:hAnsi="Arial;sans-serif"/>
          <w:b w:val="false"/>
          <w:color w:val="000000"/>
          <w:sz w:val="16"/>
          <w:shd w:fill="FFFFFF" w:val="clear"/>
        </w:rPr>
        <w:t>f July 31, 2026 wa</w:t>
      </w:r>
      <w:r>
        <w:rPr>
          <w:rFonts w:ascii="Arial;sans-serif" w:hAnsi="Arial;sans-serif"/>
          <w:b w:val="false"/>
          <w:color w:val="000000"/>
          <w:sz w:val="16"/>
        </w:rPr>
        <w:t>s 45,212,399.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on Form 10-Q (the “Quarterly Report”) contains forward-looking statements about us and our industry that involve substantial risks and uncertainties, and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product candidates, preclinical studies and clinical trials, results of preclinical studies and clinical trials, research and development costs, regulatory approvals, commercial strategy, timing and likelihood of success, as well as plans and objectives of management for future operations, are forward-looking statements. Although we believe that the expectations reflected in these forward-looking statements are reasonable,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initiation, timing, progress and results of our research and development programs, preclinical studies and clinical trials;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ability of clinical trials to demonstrate safety and efficacy of our product candidates, and other positive results, and the ability of our earlier clinical trials and preclinical studies to predict later clinical trial results;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timing, scope and likelihood of regulatory filings and approvals of our product candidates;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implementation of our business model, and strategic plans for our business, programs, and current and future product candidates;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ability to obtain additional cash and the sufficiency of our existing cash, cash equivalents and investments in marketable securities to fund our future operating expenses and capital expenditure requirements;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accuracy of our estimates regarding expenses, future revenue, capital requirements and needs for additional financing;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size and growth potential of the markets for our product candidates, and our ability to serve those markets;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our potential and ability to successfully manufacture and supply our current and future product candidates for clinical trials and for commercial use, if approved;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the scope of protection we are able to establish and maintain for intellectual property rights covering our product candidates;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developments relating to our competitors and our industry, including competing product candidates and therapies;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existing regulations and regulatory developments in the U.S. and other jurisdictions, including changes in U.S. federal policy, such as trade policies or tariffs;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expectations regarding future events under collaboration and licensing agreements, including potential future payments, as well as our plans and strategies for entering into further collaboration and licensing agreements;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general economic, industry and market conditions, including elevated interest rates and inflation;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ability to attract and retain the continued service of our key personnel and to identify, hire and then retain additional qualified personnel;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expectations regarding the period during which we will qualify as an emerging growth company under the Jumpstart Our Business Startups Act of 2012, as amended (the "JOBS Act");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expectations regarding the period during which we will qualify as a "smaller reporting company" as defined by Rule 12b-2 of the Exchange Act;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our anticipated use of our existing cash, cash equivalents and investments in marketable securities.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entitled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You should read this Quarterly Report and the documents that we reference herein or incorporated by reference as exhibits hereto with the understanding that our actual future results, levels of activity, performance and events and circumstances may be materially different from what we expect.</w:t>
      </w:r>
    </w:p>
    <w:p>
      <w:pPr>
        <w:pStyle w:val="TextBody"/>
        <w:bidi w:val="0"/>
        <w:spacing w:before="0" w:after="2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NOTE REGARDING TRADEMARKS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Sionna Therapeutics, Inc. is the owner of the trademarks SIONNA and SIONNA THERAPEUTICS, as well as certain other trademarks, including design versions of some of these trademarks. The symbols ™ and ® are not used in connection with the presentation of these trademarks in this Quarterly Report and their absence does not indicate a lack of trademark rights. Certain other trademarks used in this Quarterly Report are the property of third-party trademark owners and may be presented with or without trademark symbols.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All brand names or trademarks appearing in this Quarterly Report are the property of their respective owners. Unless the context requires otherwise, references in this report to “Sionna,” the “Company,” “we,” “us” and “our” refer to Sionna Therapeutics, Inc. and its subsidiary.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SUMMARY OF MATERIAL RISKS ASSOCIATED WITH OUR BUSINESS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We are subject to numerous risks and uncertainties, including those further described below in the section entitled “Risk Factors” in this Quarterly Report, as well as in other documents that we file with the U.S. Securities and Exchange Commission (“SEC”). The following considerations, among others, may offset our competitive strengths or have a negative effect on our business strategy, which could materially adversely affect our business, financial conditions, results of operations and future growth prospects: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We are a clinical-stage biopharmaceutical company and have incurred significant operating losses since inception and anticipate that we will continue to incur significant operating losses for the foreseeable future.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will need to raise substantial additional funding. We may be unable to raise capital on acceptable terms, if at all, and, as a result, we may be required to delay, reduce or eliminate our product development programs or future commercialization efforts.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are substantially dependent on the success of at least one of our nucleotide binding domain 1 ("NBD1") stabilizers. If we are unable to advance an NBD1 stabilizer product candidate into later-stage clinical development or unable to obtain regulatory approval and commercialize a product candidate, or experience significant delays in doing so, our business will be materially harmed.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Targeting the NBD1 domain of the cystic fibrosis transmembrane conductance regulator protein is novel, and the time, cost of development and likelihood of successful product development is difficult to predict.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intend to develop a proprietary dual combination of an NBD1 stabilizer with a complementary modulator, and/or an NBD1 stabilizer as an add-on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may incur additional costs and experience delays in completing, or ultimately be unable to complete, the development and commercialization of our product candidates.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Positive results from our preclinical studies or prior clinical trials are not necessarily predictive of the results of later clinical trials of our current or future product candidates. If we cannot replicate the positive results from our earlier preclinical studies or clinical trials of our current or potential future product candidates, or if we suffer any other significant setbacks in our later clinical trials, we may be unable to successfully develop, obtain regulatory approval for and commercialize our current or potential future product candidates.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rely, and in the future expect to rely, on third parties to conduct our ongoing and planned clinical trials for our current and future product candidates. If these third parties do not successfully carry out their contractual duties, comply with regulatory requirements or meet expected deadlines, or if we experience delays or difficulties in the initiation of, or enrollment of patients in, clinical trials, obtaining necessary regulatory approvals could be delayed or prevented.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regulatory approval processes of the U.S. Food and Drug Administration and comparable foreign authorities are lengthy, time-consuming and inherently unpredictable. If we are not able to obtain the required regulatory approval for any product candidate, our business will be substantially harmed.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rights to our product candidates from third parties or, in certain cases, we fail to meet certain development deadlines, we could lose license rights that are important to our business.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obtain such quantities at an acceptable cost or quality, which could delay, prevent or impair our development or commercialization efforts.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We face substantial competition. Our main competitor in the CF market holds substantial market share and has substantially greater resources than we do. We may not be able to compete successfully in this environment and, in particular, against a much larger competitor.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The trading price of the shares of our common stock may be volatile, and investors could lose all or part of their investment.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9135" w:type="dxa"/>
        <w:jc w:val="left"/>
        <w:tblInd w:w="0" w:type="dxa"/>
        <w:tblLayout w:type="fixed"/>
        <w:tblCellMar>
          <w:top w:w="28" w:type="dxa"/>
          <w:left w:w="28" w:type="dxa"/>
          <w:bottom w:w="28" w:type="dxa"/>
          <w:right w:w="28" w:type="dxa"/>
        </w:tblCellMar>
      </w:tblPr>
      <w:tblGrid>
        <w:gridCol w:w="3085"/>
        <w:gridCol w:w="2709"/>
        <w:gridCol w:w="2725"/>
        <w:gridCol w:w="180"/>
        <w:gridCol w:w="180"/>
        <w:gridCol w:w="256"/>
      </w:tblGrid>
      <w:tr>
        <w:trPr/>
        <w:tc>
          <w:tcPr>
            <w:tcW w:w="3085"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Page</w:t>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6">
              <w:r>
                <w:rPr>
                  <w:rStyle w:val="InternetLink"/>
                  <w:rFonts w:ascii="Arial;sans-serif" w:hAnsi="Arial;sans-serif"/>
                  <w:b/>
                  <w:strike w:val="false"/>
                  <w:dstrike w:val="false"/>
                  <w:color w:val="000000"/>
                  <w:sz w:val="20"/>
                  <w:u w:val="none"/>
                  <w:effect w:val="none"/>
                </w:rPr>
                <w:t>Part I - 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16">
              <w:r>
                <w:rPr>
                  <w:rStyle w:val="InternetLink"/>
                  <w:rFonts w:ascii="Arial;sans-serif" w:hAnsi="Arial;sans-serif"/>
                  <w:b w:val="false"/>
                  <w:strike w:val="false"/>
                  <w:dstrike w:val="false"/>
                  <w:color w:val="000000"/>
                  <w:sz w:val="20"/>
                  <w:u w:val="none"/>
                  <w:effect w:val="none"/>
                </w:rPr>
                <w:t>1</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9">
              <w:r>
                <w:rPr>
                  <w:rStyle w:val="InternetLink"/>
                  <w:rFonts w:ascii="Arial;sans-serif" w:hAnsi="Arial;sans-serif"/>
                  <w:b w:val="false"/>
                  <w:strike w:val="false"/>
                  <w:dstrike w:val="false"/>
                  <w:color w:val="000000"/>
                  <w:sz w:val="20"/>
                  <w:u w:val="none"/>
                  <w:effect w:val="none"/>
                </w:rPr>
                <w:t>Item 1. Financial Statements</w:t>
              </w:r>
            </w:hyperlink>
            <w:r>
              <w:rPr>
                <w:rFonts w:ascii="Arial;sans-serif" w:hAnsi="Arial;sans-serif"/>
                <w:b w:val="false"/>
                <w:color w:val="000000"/>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19">
              <w:r>
                <w:rPr>
                  <w:rStyle w:val="InternetLink"/>
                  <w:rFonts w:ascii="Arial;sans-serif" w:hAnsi="Arial;sans-serif"/>
                  <w:b w:val="false"/>
                  <w:strike w:val="false"/>
                  <w:dstrike w:val="false"/>
                  <w:color w:val="000000"/>
                  <w:sz w:val="20"/>
                  <w:u w:val="none"/>
                  <w:effect w:val="none"/>
                </w:rPr>
                <w:t>1</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73">
              <w:r>
                <w:rPr>
                  <w:rStyle w:val="InternetLink"/>
                  <w:rFonts w:ascii="Arial;sans-serif" w:hAnsi="Arial;sans-serif"/>
                  <w:b w:val="false"/>
                  <w:strike w:val="false"/>
                  <w:dstrike w:val="false"/>
                  <w:color w:val="000000"/>
                  <w:sz w:val="20"/>
                  <w:u w:val="none"/>
                  <w:effect w:val="none"/>
                </w:rPr>
                <w:t>Item 2. 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73">
              <w:r>
                <w:rPr>
                  <w:rStyle w:val="InternetLink"/>
                  <w:rFonts w:ascii="Arial;sans-serif" w:hAnsi="Arial;sans-serif"/>
                  <w:b w:val="false"/>
                  <w:strike w:val="false"/>
                  <w:dstrike w:val="false"/>
                  <w:color w:val="000000"/>
                  <w:sz w:val="20"/>
                  <w:u w:val="none"/>
                  <w:effect w:val="none"/>
                </w:rPr>
                <w:t>14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00">
              <w:r>
                <w:rPr>
                  <w:rStyle w:val="InternetLink"/>
                  <w:rFonts w:ascii="Arial;sans-serif" w:hAnsi="Arial;sans-serif"/>
                  <w:b w:val="false"/>
                  <w:strike w:val="false"/>
                  <w:dstrike w:val="false"/>
                  <w:color w:val="000000"/>
                  <w:sz w:val="20"/>
                  <w:u w:val="none"/>
                  <w:effect w:val="none"/>
                </w:rPr>
                <w:t>Item 3. 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00">
              <w:r>
                <w:rPr>
                  <w:rStyle w:val="InternetLink"/>
                  <w:rFonts w:ascii="Arial;sans-serif" w:hAnsi="Arial;sans-serif"/>
                  <w:b w:val="false"/>
                  <w:strike w:val="false"/>
                  <w:dstrike w:val="false"/>
                  <w:color w:val="000000"/>
                  <w:sz w:val="20"/>
                  <w:u w:val="none"/>
                  <w:effect w:val="none"/>
                </w:rPr>
                <w:t>24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03">
              <w:r>
                <w:rPr>
                  <w:rStyle w:val="InternetLink"/>
                  <w:rFonts w:ascii="Arial;sans-serif" w:hAnsi="Arial;sans-serif"/>
                  <w:b w:val="false"/>
                  <w:strike w:val="false"/>
                  <w:dstrike w:val="false"/>
                  <w:color w:val="000000"/>
                  <w:sz w:val="20"/>
                  <w:u w:val="none"/>
                  <w:effect w:val="none"/>
                </w:rPr>
                <w:t>Item 4. 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03">
              <w:r>
                <w:rPr>
                  <w:rStyle w:val="InternetLink"/>
                  <w:rFonts w:ascii="Arial;sans-serif" w:hAnsi="Arial;sans-serif"/>
                  <w:b w:val="false"/>
                  <w:strike w:val="false"/>
                  <w:dstrike w:val="false"/>
                  <w:color w:val="000000"/>
                  <w:sz w:val="20"/>
                  <w:u w:val="none"/>
                  <w:effect w:val="none"/>
                </w:rPr>
                <w:t>24</w:t>
              </w:r>
            </w:hyperlink>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06">
              <w:r>
                <w:rPr>
                  <w:rStyle w:val="InternetLink"/>
                  <w:rFonts w:ascii="Arial;sans-serif" w:hAnsi="Arial;sans-serif"/>
                  <w:b/>
                  <w:strike w:val="false"/>
                  <w:dstrike w:val="false"/>
                  <w:color w:val="000000"/>
                  <w:sz w:val="20"/>
                  <w:u w:val="none"/>
                  <w:effect w:val="none"/>
                </w:rPr>
                <w:t>Part II -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06">
              <w:r>
                <w:rPr>
                  <w:rStyle w:val="InternetLink"/>
                  <w:rFonts w:ascii="Arial;sans-serif" w:hAnsi="Arial;sans-serif"/>
                  <w:b w:val="false"/>
                  <w:strike w:val="false"/>
                  <w:dstrike w:val="false"/>
                  <w:color w:val="000000"/>
                  <w:sz w:val="20"/>
                  <w:u w:val="none"/>
                  <w:effect w:val="none"/>
                </w:rPr>
                <w:t>26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09">
              <w:r>
                <w:rPr>
                  <w:rStyle w:val="InternetLink"/>
                  <w:rFonts w:ascii="Arial;sans-serif" w:hAnsi="Arial;sans-serif"/>
                  <w:b w:val="false"/>
                  <w:strike w:val="false"/>
                  <w:dstrike w:val="false"/>
                  <w:color w:val="000000"/>
                  <w:sz w:val="20"/>
                  <w:u w:val="none"/>
                  <w:effect w:val="none"/>
                </w:rPr>
                <w:t>Item 1. 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09">
              <w:r>
                <w:rPr>
                  <w:rStyle w:val="InternetLink"/>
                  <w:rFonts w:ascii="Arial;sans-serif" w:hAnsi="Arial;sans-serif"/>
                  <w:b w:val="false"/>
                  <w:strike w:val="false"/>
                  <w:dstrike w:val="false"/>
                  <w:color w:val="000000"/>
                  <w:sz w:val="20"/>
                  <w:u w:val="none"/>
                  <w:effect w:val="none"/>
                </w:rPr>
                <w:t>26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12">
              <w:r>
                <w:rPr>
                  <w:rStyle w:val="InternetLink"/>
                  <w:rFonts w:ascii="Arial;sans-serif" w:hAnsi="Arial;sans-serif"/>
                  <w:b w:val="false"/>
                  <w:strike w:val="false"/>
                  <w:dstrike w:val="false"/>
                  <w:color w:val="000000"/>
                  <w:sz w:val="20"/>
                  <w:u w:val="none"/>
                  <w:effect w:val="none"/>
                </w:rPr>
                <w:t>Item 1A. 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09">
              <w:r>
                <w:rPr>
                  <w:rStyle w:val="InternetLink"/>
                  <w:rFonts w:ascii="Arial;sans-serif" w:hAnsi="Arial;sans-serif"/>
                  <w:b w:val="false"/>
                  <w:strike w:val="false"/>
                  <w:dstrike w:val="false"/>
                  <w:color w:val="000000"/>
                  <w:sz w:val="20"/>
                  <w:u w:val="none"/>
                  <w:effect w:val="none"/>
                </w:rPr>
                <w:t>26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15">
              <w:r>
                <w:rPr>
                  <w:rStyle w:val="InternetLink"/>
                  <w:rFonts w:ascii="Arial;sans-serif" w:hAnsi="Arial;sans-serif"/>
                  <w:b w:val="false"/>
                  <w:strike w:val="false"/>
                  <w:dstrike w:val="false"/>
                  <w:color w:val="000000"/>
                  <w:sz w:val="20"/>
                  <w:u w:val="none"/>
                  <w:effect w:val="none"/>
                </w:rPr>
                <w:t>Item 2. 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15">
              <w:r>
                <w:rPr>
                  <w:rStyle w:val="InternetLink"/>
                  <w:rFonts w:ascii="Arial;sans-serif" w:hAnsi="Arial;sans-serif"/>
                  <w:b w:val="false"/>
                  <w:strike w:val="false"/>
                  <w:dstrike w:val="false"/>
                  <w:color w:val="000000"/>
                  <w:sz w:val="20"/>
                  <w:u w:val="none"/>
                  <w:effect w:val="none"/>
                </w:rPr>
                <w:t>83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18">
              <w:r>
                <w:rPr>
                  <w:rStyle w:val="InternetLink"/>
                  <w:rFonts w:ascii="Arial;sans-serif" w:hAnsi="Arial;sans-serif"/>
                  <w:b w:val="false"/>
                  <w:strike w:val="false"/>
                  <w:dstrike w:val="false"/>
                  <w:color w:val="000000"/>
                  <w:sz w:val="20"/>
                  <w:u w:val="none"/>
                  <w:effect w:val="none"/>
                </w:rPr>
                <w:t>Item 3. 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18">
              <w:r>
                <w:rPr>
                  <w:rStyle w:val="InternetLink"/>
                  <w:rFonts w:ascii="Arial;sans-serif" w:hAnsi="Arial;sans-serif"/>
                  <w:b w:val="false"/>
                  <w:strike w:val="false"/>
                  <w:dstrike w:val="false"/>
                  <w:color w:val="000000"/>
                  <w:sz w:val="20"/>
                  <w:u w:val="none"/>
                  <w:effect w:val="none"/>
                </w:rPr>
                <w:t>83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21">
              <w:r>
                <w:rPr>
                  <w:rStyle w:val="InternetLink"/>
                  <w:rFonts w:ascii="Arial;sans-serif" w:hAnsi="Arial;sans-serif"/>
                  <w:b w:val="false"/>
                  <w:strike w:val="false"/>
                  <w:dstrike w:val="false"/>
                  <w:color w:val="000000"/>
                  <w:sz w:val="20"/>
                  <w:u w:val="none"/>
                  <w:effect w:val="none"/>
                </w:rPr>
                <w:t>Item 4. 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21">
              <w:r>
                <w:rPr>
                  <w:rStyle w:val="InternetLink"/>
                  <w:rFonts w:ascii="Arial;sans-serif" w:hAnsi="Arial;sans-serif"/>
                  <w:b w:val="false"/>
                  <w:strike w:val="false"/>
                  <w:dstrike w:val="false"/>
                  <w:color w:val="000000"/>
                  <w:sz w:val="20"/>
                  <w:u w:val="none"/>
                  <w:effect w:val="none"/>
                </w:rPr>
                <w:t>83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24">
              <w:r>
                <w:rPr>
                  <w:rStyle w:val="InternetLink"/>
                  <w:rFonts w:ascii="Arial;sans-serif" w:hAnsi="Arial;sans-serif"/>
                  <w:b w:val="false"/>
                  <w:strike w:val="false"/>
                  <w:dstrike w:val="false"/>
                  <w:color w:val="000000"/>
                  <w:sz w:val="20"/>
                  <w:u w:val="none"/>
                  <w:effect w:val="none"/>
                </w:rPr>
                <w:t>Item 5.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24">
              <w:r>
                <w:rPr>
                  <w:rStyle w:val="InternetLink"/>
                  <w:rFonts w:ascii="Arial;sans-serif" w:hAnsi="Arial;sans-serif"/>
                  <w:b w:val="false"/>
                  <w:strike w:val="false"/>
                  <w:dstrike w:val="false"/>
                  <w:color w:val="000000"/>
                  <w:sz w:val="20"/>
                  <w:u w:val="none"/>
                  <w:effect w:val="none"/>
                </w:rPr>
                <w:t>83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30">
              <w:r>
                <w:rPr>
                  <w:rStyle w:val="InternetLink"/>
                  <w:rFonts w:ascii="Arial;sans-serif" w:hAnsi="Arial;sans-serif"/>
                  <w:b w:val="false"/>
                  <w:strike w:val="false"/>
                  <w:dstrike w:val="false"/>
                  <w:color w:val="000000"/>
                  <w:sz w:val="20"/>
                  <w:u w:val="none"/>
                  <w:effect w:val="none"/>
                </w:rPr>
                <w:t>Item 6. 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30">
              <w:r>
                <w:rPr>
                  <w:rStyle w:val="InternetLink"/>
                  <w:rFonts w:ascii="Arial;sans-serif" w:hAnsi="Arial;sans-serif"/>
                  <w:b w:val="false"/>
                  <w:strike w:val="false"/>
                  <w:dstrike w:val="false"/>
                  <w:color w:val="000000"/>
                  <w:sz w:val="20"/>
                  <w:u w:val="none"/>
                  <w:effect w:val="none"/>
                </w:rPr>
                <w:t>85</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133">
              <w:r>
                <w:rPr>
                  <w:rStyle w:val="InternetLink"/>
                  <w:rFonts w:ascii="Arial;sans-serif" w:hAnsi="Arial;sans-serif"/>
                  <w:b/>
                  <w:strike w:val="false"/>
                  <w:dstrike w:val="false"/>
                  <w:color w:val="000000"/>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1e5cedaeb94d7faa092f7e53384809_133">
              <w:r>
                <w:rPr>
                  <w:rStyle w:val="InternetLink"/>
                  <w:rFonts w:ascii="Arial;sans-serif" w:hAnsi="Arial;sans-serif"/>
                  <w:b w:val="false"/>
                  <w:strike w:val="false"/>
                  <w:dstrike w:val="false"/>
                  <w:color w:val="000000"/>
                  <w:sz w:val="20"/>
                  <w:u w:val="none"/>
                  <w:effect w:val="non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INDEX TO CONSOLIDATED FINANCIAL STATEMENTS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Unaudited Interim Condensed Consolidated Financial Statements for the Six Months Ended June 30, 2026 and 2025:</w:t>
      </w:r>
    </w:p>
    <w:tbl>
      <w:tblPr>
        <w:tblW w:w="8698" w:type="dxa"/>
        <w:jc w:val="left"/>
        <w:tblInd w:w="0" w:type="dxa"/>
        <w:tblLayout w:type="fixed"/>
        <w:tblCellMar>
          <w:top w:w="28" w:type="dxa"/>
          <w:left w:w="28" w:type="dxa"/>
          <w:bottom w:w="28" w:type="dxa"/>
          <w:right w:w="28" w:type="dxa"/>
        </w:tblCellMar>
      </w:tblPr>
      <w:tblGrid>
        <w:gridCol w:w="2991"/>
        <w:gridCol w:w="2633"/>
        <w:gridCol w:w="2640"/>
        <w:gridCol w:w="127"/>
        <w:gridCol w:w="127"/>
        <w:gridCol w:w="180"/>
      </w:tblGrid>
      <w:tr>
        <w:trPr/>
        <w:tc>
          <w:tcPr>
            <w:tcW w:w="2991"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82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22">
              <w:r>
                <w:rPr>
                  <w:rStyle w:val="InternetLink"/>
                  <w:rFonts w:ascii="Arial;sans-serif" w:hAnsi="Arial;sans-serif"/>
                  <w:b w:val="false"/>
                  <w:strike w:val="false"/>
                  <w:dstrike w:val="false"/>
                  <w:color w:val="000000"/>
                  <w:sz w:val="20"/>
                  <w:u w:val="none"/>
                  <w:effect w:val="none"/>
                </w:rPr>
                <w:t>Condensed Consolidated Balance Sheets</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22">
              <w:r>
                <w:rPr>
                  <w:rStyle w:val="InternetLink"/>
                  <w:rFonts w:ascii="Arial;sans-serif" w:hAnsi="Arial;sans-serif"/>
                  <w:b w:val="false"/>
                  <w:strike w:val="false"/>
                  <w:dstrike w:val="false"/>
                  <w:color w:val="000000"/>
                  <w:sz w:val="20"/>
                  <w:u w:val="none"/>
                  <w:effect w:val="none"/>
                </w:rPr>
                <w:t>2</w:t>
              </w:r>
            </w:hyperlink>
          </w:p>
        </w:tc>
      </w:tr>
      <w:tr>
        <w:trPr/>
        <w:tc>
          <w:tcPr>
            <w:tcW w:w="82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25">
              <w:r>
                <w:rPr>
                  <w:rStyle w:val="InternetLink"/>
                  <w:rFonts w:ascii="Arial;sans-serif" w:hAnsi="Arial;sans-serif"/>
                  <w:b w:val="false"/>
                  <w:strike w:val="false"/>
                  <w:dstrike w:val="false"/>
                  <w:color w:val="000000"/>
                  <w:sz w:val="20"/>
                  <w:u w:val="none"/>
                  <w:effect w:val="none"/>
                </w:rPr>
                <w:t>Condensed Consolidated Statements of Operations and Comprehensive Loss</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25">
              <w:r>
                <w:rPr>
                  <w:rStyle w:val="InternetLink"/>
                  <w:rFonts w:ascii="Arial;sans-serif" w:hAnsi="Arial;sans-serif"/>
                  <w:b w:val="false"/>
                  <w:strike w:val="false"/>
                  <w:dstrike w:val="false"/>
                  <w:color w:val="000000"/>
                  <w:sz w:val="20"/>
                  <w:u w:val="none"/>
                  <w:effect w:val="none"/>
                </w:rPr>
                <w:t>3</w:t>
              </w:r>
            </w:hyperlink>
          </w:p>
        </w:tc>
      </w:tr>
      <w:tr>
        <w:trPr/>
        <w:tc>
          <w:tcPr>
            <w:tcW w:w="82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28">
              <w:r>
                <w:rPr>
                  <w:rStyle w:val="InternetLink"/>
                  <w:rFonts w:ascii="Arial;sans-serif" w:hAnsi="Arial;sans-serif"/>
                  <w:b w:val="false"/>
                  <w:strike w:val="false"/>
                  <w:dstrike w:val="false"/>
                  <w:color w:val="000080"/>
                  <w:sz w:val="20"/>
                  <w:u w:val="single"/>
                  <w:effect w:val="none"/>
                </w:rPr>
                <w:t>Condensed Consolidated Statements of Convertible Preferred Stock and Stockholders’</w:t>
              </w:r>
            </w:hyperlink>
            <w:hyperlink w:anchor="i591e5cedaeb94d7faa092f7e53384809_28">
              <w:r>
                <w:rPr>
                  <w:rStyle w:val="InternetLink"/>
                  <w:rFonts w:ascii="Arial;sans-serif" w:hAnsi="Arial;sans-serif"/>
                  <w:b w:val="false"/>
                  <w:strike w:val="false"/>
                  <w:dstrike w:val="false"/>
                  <w:color w:val="000080"/>
                  <w:sz w:val="20"/>
                  <w:u w:val="single"/>
                  <w:effect w:val="none"/>
                </w:rPr>
                <w:t xml:space="preserve"> Equity</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28">
              <w:r>
                <w:rPr>
                  <w:rStyle w:val="InternetLink"/>
                  <w:rFonts w:ascii="Arial;sans-serif" w:hAnsi="Arial;sans-serif"/>
                  <w:b w:val="false"/>
                  <w:strike w:val="false"/>
                  <w:dstrike w:val="false"/>
                  <w:color w:val="000000"/>
                  <w:sz w:val="20"/>
                  <w:u w:val="none"/>
                  <w:effect w:val="none"/>
                </w:rPr>
                <w:t>4</w:t>
              </w:r>
            </w:hyperlink>
          </w:p>
        </w:tc>
      </w:tr>
      <w:tr>
        <w:trPr/>
        <w:tc>
          <w:tcPr>
            <w:tcW w:w="82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31">
              <w:r>
                <w:rPr>
                  <w:rStyle w:val="InternetLink"/>
                  <w:rFonts w:ascii="Arial;sans-serif" w:hAnsi="Arial;sans-serif"/>
                  <w:b w:val="false"/>
                  <w:strike w:val="false"/>
                  <w:dstrike w:val="false"/>
                  <w:color w:val="000000"/>
                  <w:sz w:val="20"/>
                  <w:u w:val="none"/>
                  <w:effect w:val="none"/>
                </w:rPr>
                <w:t>Condensed Consolidated Statements of Cash Flows</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31">
              <w:r>
                <w:rPr>
                  <w:rStyle w:val="InternetLink"/>
                  <w:rFonts w:ascii="Arial;sans-serif" w:hAnsi="Arial;sans-serif"/>
                  <w:b w:val="false"/>
                  <w:strike w:val="false"/>
                  <w:dstrike w:val="false"/>
                  <w:color w:val="000000"/>
                  <w:sz w:val="20"/>
                  <w:u w:val="none"/>
                  <w:effect w:val="none"/>
                </w:rPr>
                <w:t>6</w:t>
              </w:r>
            </w:hyperlink>
          </w:p>
        </w:tc>
      </w:tr>
      <w:tr>
        <w:trPr/>
        <w:tc>
          <w:tcPr>
            <w:tcW w:w="82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1e5cedaeb94d7faa092f7e53384809_34">
              <w:r>
                <w:rPr>
                  <w:rStyle w:val="InternetLink"/>
                  <w:rFonts w:ascii="Arial;sans-serif" w:hAnsi="Arial;sans-serif"/>
                  <w:b w:val="false"/>
                  <w:strike w:val="false"/>
                  <w:dstrike w:val="false"/>
                  <w:color w:val="000000"/>
                  <w:sz w:val="20"/>
                  <w:u w:val="none"/>
                  <w:effect w:val="none"/>
                </w:rPr>
                <w:t>Notes to Condensed Consolidated Financial Statements</w:t>
              </w:r>
            </w:hyperlink>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20"/>
              </w:rPr>
              <w:t>F-</w:t>
            </w:r>
            <w:hyperlink w:anchor="i591e5cedaeb94d7faa092f7e53384809_34">
              <w:r>
                <w:rPr>
                  <w:rStyle w:val="InternetLink"/>
                  <w:rFonts w:ascii="Arial;sans-serif" w:hAnsi="Arial;sans-serif"/>
                  <w:b w:val="false"/>
                  <w:strike w:val="false"/>
                  <w:dstrike w:val="false"/>
                  <w:color w:val="000000"/>
                  <w:sz w:val="20"/>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SIONNA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2944"/>
        <w:gridCol w:w="2287"/>
        <w:gridCol w:w="2248"/>
        <w:gridCol w:w="211"/>
        <w:gridCol w:w="856"/>
        <w:gridCol w:w="109"/>
        <w:gridCol w:w="109"/>
        <w:gridCol w:w="109"/>
        <w:gridCol w:w="109"/>
        <w:gridCol w:w="211"/>
        <w:gridCol w:w="856"/>
        <w:gridCol w:w="156"/>
      </w:tblGrid>
      <w:tr>
        <w:trPr/>
        <w:tc>
          <w:tcPr>
            <w:tcW w:w="2944"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241,419 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325,953 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lease liability,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10,000,000 shares authorized as of June 30, 2026 and December 31, 2025, respectively; no shares issued or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500,000,000 shares authorized as of June 30, 2026 and December 31, 2025, respectively; 45,164,239 and 44,723,585 shares issued, 45,164,239 and 44,723,585 shares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(256,354)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306,833 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325,953 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SIONNA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AND COMPREHENSIVE LOSS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and per share data)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09"/>
        <w:gridCol w:w="1263"/>
        <w:gridCol w:w="1265"/>
        <w:gridCol w:w="246"/>
        <w:gridCol w:w="880"/>
        <w:gridCol w:w="109"/>
        <w:gridCol w:w="109"/>
        <w:gridCol w:w="109"/>
        <w:gridCol w:w="109"/>
        <w:gridCol w:w="246"/>
        <w:gridCol w:w="880"/>
        <w:gridCol w:w="109"/>
        <w:gridCol w:w="109"/>
        <w:gridCol w:w="109"/>
        <w:gridCol w:w="109"/>
        <w:gridCol w:w="246"/>
        <w:gridCol w:w="880"/>
        <w:gridCol w:w="109"/>
        <w:gridCol w:w="109"/>
        <w:gridCol w:w="109"/>
        <w:gridCol w:w="109"/>
        <w:gridCol w:w="246"/>
        <w:gridCol w:w="880"/>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expenses: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income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(0.98)</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common shares outstanding, basic and diluted</w:t>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45,148,971 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44,116,997 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45,306,105 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35,404,928 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marketable securities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other comprehensive loss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(34,735)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SIONNA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CONVERTIBLE PREFERRED STOCK AND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amounts)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15883" w:type="dxa"/>
        <w:jc w:val="center"/>
        <w:tblInd w:w="0" w:type="dxa"/>
        <w:tblLayout w:type="fixed"/>
        <w:tblCellMar>
          <w:top w:w="28" w:type="dxa"/>
          <w:left w:w="28" w:type="dxa"/>
          <w:bottom w:w="28" w:type="dxa"/>
          <w:right w:w="28" w:type="dxa"/>
        </w:tblCellMar>
      </w:tblPr>
      <w:tblGrid>
        <w:gridCol w:w="395"/>
        <w:gridCol w:w="215"/>
        <w:gridCol w:w="216"/>
        <w:gridCol w:w="208"/>
        <w:gridCol w:w="208"/>
        <w:gridCol w:w="215"/>
        <w:gridCol w:w="109"/>
        <w:gridCol w:w="109"/>
        <w:gridCol w:w="109"/>
        <w:gridCol w:w="166"/>
        <w:gridCol w:w="466"/>
        <w:gridCol w:w="109"/>
        <w:gridCol w:w="109"/>
        <w:gridCol w:w="109"/>
        <w:gridCol w:w="109"/>
        <w:gridCol w:w="208"/>
        <w:gridCol w:w="208"/>
        <w:gridCol w:w="215"/>
        <w:gridCol w:w="109"/>
        <w:gridCol w:w="109"/>
        <w:gridCol w:w="109"/>
        <w:gridCol w:w="166"/>
        <w:gridCol w:w="466"/>
        <w:gridCol w:w="109"/>
        <w:gridCol w:w="109"/>
        <w:gridCol w:w="109"/>
        <w:gridCol w:w="109"/>
        <w:gridCol w:w="228"/>
        <w:gridCol w:w="228"/>
        <w:gridCol w:w="235"/>
        <w:gridCol w:w="109"/>
        <w:gridCol w:w="109"/>
        <w:gridCol w:w="109"/>
        <w:gridCol w:w="166"/>
        <w:gridCol w:w="526"/>
        <w:gridCol w:w="109"/>
        <w:gridCol w:w="109"/>
        <w:gridCol w:w="109"/>
        <w:gridCol w:w="109"/>
        <w:gridCol w:w="228"/>
        <w:gridCol w:w="228"/>
        <w:gridCol w:w="235"/>
        <w:gridCol w:w="109"/>
        <w:gridCol w:w="109"/>
        <w:gridCol w:w="109"/>
        <w:gridCol w:w="166"/>
        <w:gridCol w:w="526"/>
        <w:gridCol w:w="109"/>
        <w:gridCol w:w="109"/>
        <w:gridCol w:w="109"/>
        <w:gridCol w:w="109"/>
        <w:gridCol w:w="109"/>
        <w:gridCol w:w="109"/>
        <w:gridCol w:w="109"/>
        <w:gridCol w:w="213"/>
        <w:gridCol w:w="213"/>
        <w:gridCol w:w="220"/>
        <w:gridCol w:w="109"/>
        <w:gridCol w:w="109"/>
        <w:gridCol w:w="109"/>
        <w:gridCol w:w="178"/>
        <w:gridCol w:w="275"/>
        <w:gridCol w:w="118"/>
        <w:gridCol w:w="327"/>
        <w:gridCol w:w="166"/>
        <w:gridCol w:w="526"/>
        <w:gridCol w:w="109"/>
        <w:gridCol w:w="327"/>
        <w:gridCol w:w="274"/>
        <w:gridCol w:w="521"/>
        <w:gridCol w:w="181"/>
        <w:gridCol w:w="327"/>
        <w:gridCol w:w="166"/>
        <w:gridCol w:w="566"/>
        <w:gridCol w:w="109"/>
        <w:gridCol w:w="327"/>
        <w:gridCol w:w="176"/>
        <w:gridCol w:w="575"/>
        <w:gridCol w:w="165"/>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Series Seed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 xml:space="preserve">Series 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w:t>
              <w:br/>
              <w:t>Stockholders’</w:t>
              <w:br/>
              <w:t>Equity</w:t>
              <w:br/>
              <w:t>(Deficit)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December 31, 2024</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3,963,963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5,704,161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11,370,621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110,791 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18,628,970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4,722,763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(181,086)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(163,713)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Conversion of convertible preferred stock to common stock upon closing of initial public offering</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(3,963,963)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(5,704,161)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(11,370,621)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(110,791)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(18,628,970)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(181,328)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27,149,206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330,340 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330,367 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Issuance of common stock from initial public offering, net of issuance costs of $4,265</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12,176,467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199,570 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Vesting of restricted common stock awards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43,681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2,094 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Unrealized loss on marketable securities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Net loss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(16,482)</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March 31, 2025</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44,092,117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(197,568)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351,769 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Exercise of common stock options</w:t>
            </w:r>
          </w:p>
        </w:tc>
        <w:tc>
          <w:tcPr>
            <w:tcW w:w="6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Vesting of restricted common stock awards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2,840 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Unrealized loss on marketable securities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(118)</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(18,068)</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June 30, 2025</w:t>
            </w:r>
          </w:p>
        </w:tc>
        <w:tc>
          <w:tcPr>
            <w:tcW w:w="6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44,132,338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551,838 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183 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(215,636)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336,429 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 xml:space="preserve">The accompanying notes are an integral part of these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SIONNA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CONVERTIBLE PREFERRED STOCK AND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amounts)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14773" w:type="dxa"/>
        <w:jc w:val="left"/>
        <w:tblInd w:w="0" w:type="dxa"/>
        <w:tblLayout w:type="fixed"/>
        <w:tblCellMar>
          <w:top w:w="28" w:type="dxa"/>
          <w:left w:w="28" w:type="dxa"/>
          <w:bottom w:w="28" w:type="dxa"/>
          <w:right w:w="28" w:type="dxa"/>
        </w:tblCellMar>
      </w:tblPr>
      <w:tblGrid>
        <w:gridCol w:w="395"/>
        <w:gridCol w:w="215"/>
        <w:gridCol w:w="216"/>
        <w:gridCol w:w="160"/>
        <w:gridCol w:w="160"/>
        <w:gridCol w:w="161"/>
        <w:gridCol w:w="109"/>
        <w:gridCol w:w="109"/>
        <w:gridCol w:w="109"/>
        <w:gridCol w:w="166"/>
        <w:gridCol w:w="406"/>
        <w:gridCol w:w="109"/>
        <w:gridCol w:w="109"/>
        <w:gridCol w:w="109"/>
        <w:gridCol w:w="109"/>
        <w:gridCol w:w="160"/>
        <w:gridCol w:w="160"/>
        <w:gridCol w:w="161"/>
        <w:gridCol w:w="109"/>
        <w:gridCol w:w="109"/>
        <w:gridCol w:w="109"/>
        <w:gridCol w:w="166"/>
        <w:gridCol w:w="406"/>
        <w:gridCol w:w="109"/>
        <w:gridCol w:w="109"/>
        <w:gridCol w:w="109"/>
        <w:gridCol w:w="109"/>
        <w:gridCol w:w="160"/>
        <w:gridCol w:w="160"/>
        <w:gridCol w:w="161"/>
        <w:gridCol w:w="109"/>
        <w:gridCol w:w="109"/>
        <w:gridCol w:w="109"/>
        <w:gridCol w:w="166"/>
        <w:gridCol w:w="406"/>
        <w:gridCol w:w="109"/>
        <w:gridCol w:w="109"/>
        <w:gridCol w:w="109"/>
        <w:gridCol w:w="109"/>
        <w:gridCol w:w="160"/>
        <w:gridCol w:w="160"/>
        <w:gridCol w:w="161"/>
        <w:gridCol w:w="109"/>
        <w:gridCol w:w="109"/>
        <w:gridCol w:w="109"/>
        <w:gridCol w:w="166"/>
        <w:gridCol w:w="406"/>
        <w:gridCol w:w="109"/>
        <w:gridCol w:w="109"/>
        <w:gridCol w:w="109"/>
        <w:gridCol w:w="109"/>
        <w:gridCol w:w="109"/>
        <w:gridCol w:w="109"/>
        <w:gridCol w:w="109"/>
        <w:gridCol w:w="214"/>
        <w:gridCol w:w="214"/>
        <w:gridCol w:w="218"/>
        <w:gridCol w:w="109"/>
        <w:gridCol w:w="109"/>
        <w:gridCol w:w="109"/>
        <w:gridCol w:w="178"/>
        <w:gridCol w:w="275"/>
        <w:gridCol w:w="118"/>
        <w:gridCol w:w="327"/>
        <w:gridCol w:w="166"/>
        <w:gridCol w:w="526"/>
        <w:gridCol w:w="109"/>
        <w:gridCol w:w="327"/>
        <w:gridCol w:w="267"/>
        <w:gridCol w:w="533"/>
        <w:gridCol w:w="176"/>
        <w:gridCol w:w="327"/>
        <w:gridCol w:w="166"/>
        <w:gridCol w:w="566"/>
        <w:gridCol w:w="109"/>
        <w:gridCol w:w="327"/>
        <w:gridCol w:w="173"/>
        <w:gridCol w:w="550"/>
        <w:gridCol w:w="163"/>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Series Seed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Series 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Paid-In</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Accumulated</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Total</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Stockholders’</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Equity </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December 31, 2025</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44,723,585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562,602 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306,833 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Exercise of common stock options</w:t>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352,066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2,225 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6,553 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Unrealized loss on marketable securities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12"/>
              </w:rPr>
            </w:pPr>
            <w:r>
              <w:rPr>
                <w:rFonts w:ascii="Arial;sans-serif" w:hAnsi="Arial;sans-serif"/>
                <w:b w:val="false"/>
                <w:color w:val="000000"/>
                <w:sz w:val="12"/>
              </w:rPr>
              <w:t>Net loss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(26,779)</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March 31, 2026</w:t>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45,075,651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571,380 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(283,133)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288,208 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Exercise of common stock options</w:t>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Stock-based compensation expense</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6,842 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Unrealized loss on marketable securities</w:t>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(364)</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(29,886)</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Balance at June 30, 2026</w:t>
            </w:r>
          </w:p>
        </w:tc>
        <w:tc>
          <w:tcPr>
            <w:tcW w:w="4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45,164,239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579,197 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(448)</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(313,019)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265,775 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 xml:space="preserve">The accompanying notes are an integral part of these condensed consolidated financial statements. </w:t>
      </w:r>
    </w:p>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SIONNA THERAPEUTICS,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3"/>
        <w:gridCol w:w="2353"/>
        <w:gridCol w:w="2368"/>
        <w:gridCol w:w="211"/>
        <w:gridCol w:w="791"/>
        <w:gridCol w:w="109"/>
        <w:gridCol w:w="109"/>
        <w:gridCol w:w="109"/>
        <w:gridCol w:w="109"/>
        <w:gridCol w:w="211"/>
        <w:gridCol w:w="856"/>
        <w:gridCol w:w="156"/>
      </w:tblGrid>
      <w:tr>
        <w:trPr/>
        <w:tc>
          <w:tcPr>
            <w:tcW w:w="2823"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Cash flows from 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Non-cash operating lease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discount on marketable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Cash flows from investing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Purchases of marketable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marketable securities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(164,439)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Cash flows from financing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initial public offering, net of underwriter discounts, commissions and offering costs paid during the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Exercise of common stock options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202,077 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of convertible preferred stock into common stock upon closing of initial public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Offering costs transferred to additional paid in capital </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4,265</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offering costs in accrued expenses and accounts payable</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receivable from stock option exercises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cash, cash equivalents and restricted cash:</w:t>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cash</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i/>
          <w:color w:val="000000"/>
          <w:sz w:val="20"/>
        </w:rPr>
      </w:pPr>
      <w:r>
        <w:rPr>
          <w:rFonts w:ascii="Arial;sans-serif" w:hAnsi="Arial;sans-serif"/>
          <w:b w:val="false"/>
          <w:i/>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SIONNA THERAPEUTICS, INC.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36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1. Nature of the Business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Organization </w:t>
      </w:r>
    </w:p>
    <w:p>
      <w:pPr>
        <w:pStyle w:val="TextBody"/>
        <w:bidi w:val="0"/>
        <w:spacing w:lineRule="auto" w:line="288" w:before="0" w:after="360"/>
        <w:ind w:left="0" w:right="0" w:firstLine="720"/>
        <w:jc w:val="left"/>
        <w:rPr/>
      </w:pPr>
      <w:r>
        <w:rPr>
          <w:rFonts w:ascii="Arial;sans-serif" w:hAnsi="Arial;sans-serif"/>
          <w:b w:val="false"/>
          <w:color w:val="000000"/>
          <w:sz w:val="20"/>
        </w:rPr>
        <w:t xml:space="preserve">Sionna Therapeutics, Inc. (the “Company”), formerly known as Sling Therapeutics, Inc., was incorporated in Delaware in August 2019 and is headquartered in Waltham, Massachusetts. The Company is a clinical-stage biopharmaceutical company on a mission to revolutionize the current treatment paradigm for cystic fibrosis </w:t>
      </w:r>
      <w:r>
        <w:rPr>
          <w:rFonts w:ascii="Arial;sans-serif" w:hAnsi="Arial;sans-serif"/>
          <w:b w:val="false"/>
          <w:color w:val="000000"/>
          <w:sz w:val="20"/>
          <w:shd w:fill="FFFFFF" w:val="clear"/>
        </w:rPr>
        <w:t xml:space="preserve">(“CF”) </w:t>
      </w:r>
      <w:r>
        <w:rPr>
          <w:rFonts w:ascii="Arial;sans-serif" w:hAnsi="Arial;sans-serif"/>
          <w:b w:val="false"/>
          <w:color w:val="000000"/>
          <w:sz w:val="20"/>
        </w:rPr>
        <w:t xml:space="preserve">patients by developing novel medicines that normalize the function of the cystic fibrosis transmembrane conductance regulator protein to deliver clinically meaningful benefit to CF patients.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Risks and Uncertainties </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subject to a number of risks common to other companies in the biotechnology industry, including but not limited to, development by competitors of new technological innovations, risks of failure of preclinical studies and clinical trials, development and manufacturing of product candidates, obtaining regulatory approval for product candidates, competition from substitute products, the need to successfully commercialize and gain market acceptance of its product candidates, protection of proprietary technology, dependence on key personnel, the ability to attract and retain qualified employees, reliance on third-party organizations, compliance with government regulations, and the need to obtain additional financing. Product candidates currently under development will require significant additional research and development efforts, including extensive clinical testing and regulatory approval, prior to commercialization. These efforts will require significant amounts of additional capital, adequate personnel infrastructure, and extensive compliance reporting capabilities. Even if the Company’s development efforts are successful, it is uncertain when, if ever, the Company will realize significant revenue from product sales.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Liquidity and Going Concern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 has incurred annual net operating losses and has generated negative operating cash flows in every year since inception. As of June 30, 2026, the Company had an accumulated deficit of $313.0 million. The Company expects its operating losses to continue into the foreseeable future as it continues to pursue its research and development efforts.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has evaluated whether there are conditions and events, considered in the aggregate, that raise substantial doubt about the Company’s ability to continue as a going concern within one year after the date that these condensed consolidated financial statements are issued. The Company believes that its existing cash, cash equivalents and marketable securities of $268.3 million as of June 30, 2026, will be sufficient to allow the Company to fund operations beyond twelve months from the date that the financial statements are issued.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March 2026, the Company entered into a sales agreement with Leerink Partners LLC (“Leerink”), under which the Company, from time to time, may issue and sell shares of the Company’s common stock through an "at the market" equity offering program under which Leerink is acting as sales agent, for aggregate gross sale proceeds of up to $250.0 million. As of June 30, 2026, the Company has not sold any shares of common stock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2. Summary of Significant Accounting Policies </w:t>
      </w:r>
    </w:p>
    <w:p>
      <w:pPr>
        <w:pStyle w:val="TextBody"/>
        <w:bidi w:val="0"/>
        <w:spacing w:lineRule="auto" w:line="288" w:before="0" w:after="360"/>
        <w:ind w:left="0" w:right="0" w:firstLine="720"/>
        <w:jc w:val="left"/>
        <w:rPr/>
      </w:pPr>
      <w:r>
        <w:rPr>
          <w:rFonts w:ascii="Arial;sans-serif" w:hAnsi="Arial;sans-serif"/>
          <w:b w:val="false"/>
          <w:color w:val="000000"/>
          <w:sz w:val="20"/>
        </w:rPr>
        <w:t xml:space="preserve">The Company’s significant accounting policies are disclosed in Note 2, </w:t>
      </w:r>
      <w:r>
        <w:rPr>
          <w:color w:val="000000"/>
        </w:rPr>
        <w:t>“</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in the audited consolidated annual financial statements in the Annual Report on Form 10-K for the year ended December 31, 2025, which was filed with the Securities and Exchange Commission (“SEC”) on March 2, 2026 (the “Annual Report”). Since the date of those annual financial statements, there have been no changes to the Company’s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accompanying condensed consolidated balance sheet as of June 30, 2026, and the condensed consolidated statements of operations and comprehensive loss, statements of convertible preferred stock and stockholders’ equity and statements of cash flows for the six months ended June 30, 2026, and 2025,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June 30, 2026, and the results of its operations and its cash flows for the periods presented. The financial data and other information disclosed in these notes related to the three and six months ended June 30, 2026, and 2025, are also unaudited. The results for the three and six months ended June 30, 2026, are not necessarily indicative of results to be expected for the year ending December 31, 2026, or for any other subsequent period.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288" w:before="0" w:after="360"/>
        <w:ind w:left="0" w:right="0" w:firstLine="720"/>
        <w:jc w:val="left"/>
        <w:rPr/>
      </w:pPr>
      <w:r>
        <w:rPr>
          <w:rFonts w:ascii="Arial;sans-serif" w:hAnsi="Arial;sans-serif"/>
          <w:b w:val="false"/>
          <w:color w:val="000000"/>
          <w:sz w:val="20"/>
        </w:rPr>
        <w:t xml:space="preserve">In September 2025, the FASB issued ASU 2025-07, </w:t>
      </w:r>
      <w:r>
        <w:rPr>
          <w:rFonts w:ascii="Arial;sans-serif" w:hAnsi="Arial;sans-serif"/>
          <w:b w:val="false"/>
          <w:i/>
          <w:color w:val="000000"/>
          <w:sz w:val="20"/>
        </w:rPr>
        <w:t>Derivatives Scope Refinement</w:t>
      </w:r>
      <w:r>
        <w:rPr>
          <w:rFonts w:ascii="Arial;sans-serif" w:hAnsi="Arial;sans-serif"/>
          <w:b w:val="false"/>
          <w:color w:val="000000"/>
          <w:sz w:val="20"/>
        </w:rPr>
        <w:t>, ("ASU 2025-07"). ASU 2025-07 creates a scope exception within ASC 815 for certain contracts with underlyings tied to a party's operations or activities (such as regulatory approval, clinical, or earnings milestones), which may cause some arrangements that previously met the derivative definition to no longer be accounted for as derivatives. The guidance is effective for fiscal years beginning after December 15, 2026, including interim periods. Early adoption is permitted. The Company adopted the guidance prospectively as of January 1, 2026, for contracts entered into or modified after the adoption date. The adoption did not have a material impact on the Company’s consolidated financial statements.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0" w:after="240"/>
        <w:ind w:left="0" w:right="0" w:firstLine="720"/>
        <w:jc w:val="left"/>
        <w:rPr/>
      </w:pPr>
      <w:r>
        <w:rPr>
          <w:rFonts w:ascii="Arial;sans-serif" w:hAnsi="Arial;sans-serif"/>
          <w:b w:val="false"/>
          <w:color w:val="000000"/>
          <w:sz w:val="20"/>
        </w:rPr>
        <w:t>In November 2024, the FASB issued ASU 2024-03,</w:t>
      </w:r>
      <w:r>
        <w:rPr>
          <w:color w:val="000000"/>
        </w:rPr>
        <w:t xml:space="preserve">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 xml:space="preserve">("ASU 2024-03"), which requires entities to disclose additional information about specific expense categories in the notes to the financial statements. ASU 2024-03 is effective for annual periods beginning after December 15, 2026 and for interim periods within fiscal years beginning after December 15, 2027. Early adoption is permitted. ASU 2024-03 may be applied retrospectively or prospectively. The Company is currently evaluating the effect of this update on its consolidated financial statements and related disclosures.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3. Marketable Securities </w:t>
      </w:r>
    </w:p>
    <w:p>
      <w:pPr>
        <w:pStyle w:val="TextBody"/>
        <w:bidi w:val="0"/>
        <w:spacing w:lineRule="auto" w:line="288" w:before="0" w:after="24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summarize the amortized cost and estimated fair value of the Company’s current and noncurrent marketable securities (in thousands):</w:t>
      </w:r>
    </w:p>
    <w:tbl>
      <w:tblPr>
        <w:tblW w:w="8779" w:type="dxa"/>
        <w:jc w:val="left"/>
        <w:tblInd w:w="0" w:type="dxa"/>
        <w:tblLayout w:type="fixed"/>
        <w:tblCellMar>
          <w:top w:w="28" w:type="dxa"/>
          <w:left w:w="28" w:type="dxa"/>
          <w:bottom w:w="28" w:type="dxa"/>
          <w:right w:w="28" w:type="dxa"/>
        </w:tblCellMar>
      </w:tblPr>
      <w:tblGrid>
        <w:gridCol w:w="1270"/>
        <w:gridCol w:w="1116"/>
        <w:gridCol w:w="1123"/>
        <w:gridCol w:w="211"/>
        <w:gridCol w:w="856"/>
        <w:gridCol w:w="109"/>
        <w:gridCol w:w="109"/>
        <w:gridCol w:w="109"/>
        <w:gridCol w:w="109"/>
        <w:gridCol w:w="286"/>
        <w:gridCol w:w="511"/>
        <w:gridCol w:w="149"/>
        <w:gridCol w:w="109"/>
        <w:gridCol w:w="109"/>
        <w:gridCol w:w="109"/>
        <w:gridCol w:w="249"/>
        <w:gridCol w:w="568"/>
        <w:gridCol w:w="129"/>
        <w:gridCol w:w="109"/>
        <w:gridCol w:w="109"/>
        <w:gridCol w:w="109"/>
        <w:gridCol w:w="211"/>
        <w:gridCol w:w="85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 current: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marketable securities, current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 noncurrent: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marketable securities, noncurrent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463"/>
        <w:gridCol w:w="1232"/>
        <w:gridCol w:w="1225"/>
        <w:gridCol w:w="245"/>
        <w:gridCol w:w="995"/>
        <w:gridCol w:w="126"/>
        <w:gridCol w:w="109"/>
        <w:gridCol w:w="109"/>
        <w:gridCol w:w="109"/>
        <w:gridCol w:w="355"/>
        <w:gridCol w:w="811"/>
        <w:gridCol w:w="183"/>
        <w:gridCol w:w="109"/>
        <w:gridCol w:w="109"/>
        <w:gridCol w:w="109"/>
        <w:gridCol w:w="395"/>
        <w:gridCol w:w="762"/>
        <w:gridCol w:w="205"/>
        <w:gridCol w:w="109"/>
        <w:gridCol w:w="109"/>
        <w:gridCol w:w="109"/>
        <w:gridCol w:w="211"/>
        <w:gridCol w:w="856"/>
        <w:gridCol w:w="160"/>
      </w:tblGrid>
      <w:tr>
        <w:trPr/>
        <w:tc>
          <w:tcPr>
            <w:tcW w:w="146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Unrealized Gain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Unrealized 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Fair Value </w:t>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 current:</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136,064 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debt</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Total marketable securities, current</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177,150 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177,431 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 noncurrent:</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Total marketable securities, noncurrent</w:t>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74,420 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251,311 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251,851 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360"/>
        <w:ind w:left="0" w:right="0" w:firstLine="720"/>
        <w:jc w:val="left"/>
        <w:rPr/>
      </w:pPr>
      <w:r>
        <w:rPr>
          <w:rFonts w:ascii="Arial;sans-serif" w:hAnsi="Arial;sans-serif"/>
          <w:b w:val="false"/>
          <w:color w:val="000000"/>
          <w:sz w:val="20"/>
        </w:rPr>
        <w:t>The Company has determined that there were no material changes in the credit risk, therefore the Company has not recognized any allowance for credit losses on its debt securities. As of June 30, 2026, the Company holds marketable securities with an aggregate fair value of</w:t>
      </w:r>
      <w:r>
        <w:rPr>
          <w:color w:val="000000"/>
          <w:shd w:fill="FFFFFF" w:val="clear"/>
        </w:rPr>
        <w:t xml:space="preserve"> </w:t>
      </w:r>
      <w:r>
        <w:rPr>
          <w:rFonts w:ascii="Arial;sans-serif" w:hAnsi="Arial;sans-serif"/>
          <w:b w:val="false"/>
          <w:color w:val="000000"/>
          <w:sz w:val="20"/>
        </w:rPr>
        <w:t>$57.2 million that had remaining maturities between one and two years. All other securities had a contractual maturity of less than a year. There were no realized gains or losses during the three and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4. Fair Value Measurements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tables present information about the Company’s financial instruments that are measured at fair value on a recurring basis and indicates the fair value hierarchy of the inputs the Company utilized to determine such fair value (in thousands): </w:t>
      </w:r>
    </w:p>
    <w:tbl>
      <w:tblPr>
        <w:tblW w:w="7950" w:type="dxa"/>
        <w:jc w:val="left"/>
        <w:tblInd w:w="0" w:type="dxa"/>
        <w:tblLayout w:type="fixed"/>
        <w:tblCellMar>
          <w:top w:w="28" w:type="dxa"/>
          <w:left w:w="28" w:type="dxa"/>
          <w:bottom w:w="28" w:type="dxa"/>
          <w:right w:w="28" w:type="dxa"/>
        </w:tblCellMar>
      </w:tblPr>
      <w:tblGrid>
        <w:gridCol w:w="1001"/>
        <w:gridCol w:w="881"/>
        <w:gridCol w:w="89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40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Level 3 </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tbl>
      <w:tblPr>
        <w:tblW w:w="7950" w:type="dxa"/>
        <w:jc w:val="left"/>
        <w:tblInd w:w="0" w:type="dxa"/>
        <w:tblLayout w:type="fixed"/>
        <w:tblCellMar>
          <w:top w:w="28" w:type="dxa"/>
          <w:left w:w="28" w:type="dxa"/>
          <w:bottom w:w="28" w:type="dxa"/>
          <w:right w:w="28" w:type="dxa"/>
        </w:tblCellMar>
      </w:tblPr>
      <w:tblGrid>
        <w:gridCol w:w="1001"/>
        <w:gridCol w:w="881"/>
        <w:gridCol w:w="89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40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Level 3 </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there were no transfers or reclassifications between fair value measurement levels of assets or liabilities. The carrying values of prepaid expenses and other current assets, accounts payable and accrued expenses approximate their fair values due to the short-term nature of these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5. Property and Equipment, net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Property and equipment, net consisted of the following (in thousands): </w:t>
      </w:r>
    </w:p>
    <w:tbl>
      <w:tblPr>
        <w:tblW w:w="5387" w:type="dxa"/>
        <w:jc w:val="left"/>
        <w:tblInd w:w="0" w:type="dxa"/>
        <w:tblLayout w:type="fixed"/>
        <w:tblCellMar>
          <w:top w:w="28" w:type="dxa"/>
          <w:left w:w="28" w:type="dxa"/>
          <w:bottom w:w="28" w:type="dxa"/>
          <w:right w:w="28" w:type="dxa"/>
        </w:tblCellMar>
      </w:tblPr>
      <w:tblGrid>
        <w:gridCol w:w="1043"/>
        <w:gridCol w:w="916"/>
        <w:gridCol w:w="921"/>
        <w:gridCol w:w="211"/>
        <w:gridCol w:w="646"/>
        <w:gridCol w:w="109"/>
        <w:gridCol w:w="109"/>
        <w:gridCol w:w="109"/>
        <w:gridCol w:w="109"/>
        <w:gridCol w:w="253"/>
        <w:gridCol w:w="776"/>
        <w:gridCol w:w="185"/>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Laboratory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Furniture &amp; fixtures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Depreciation expense for the three months ended June 30, 2026 and 2025 was $0.2 million and $0.1 million, respectively. Depreciation expense was $0.3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6. Accrued Expenses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consisted of the following (in thousands): </w:t>
      </w:r>
    </w:p>
    <w:tbl>
      <w:tblPr>
        <w:tblW w:w="5747" w:type="dxa"/>
        <w:jc w:val="left"/>
        <w:tblInd w:w="0" w:type="dxa"/>
        <w:tblLayout w:type="fixed"/>
        <w:tblCellMar>
          <w:top w:w="28" w:type="dxa"/>
          <w:left w:w="28" w:type="dxa"/>
          <w:bottom w:w="28" w:type="dxa"/>
          <w:right w:w="28" w:type="dxa"/>
        </w:tblCellMar>
      </w:tblPr>
      <w:tblGrid>
        <w:gridCol w:w="1174"/>
        <w:gridCol w:w="1031"/>
        <w:gridCol w:w="1035"/>
        <w:gridCol w:w="211"/>
        <w:gridCol w:w="646"/>
        <w:gridCol w:w="109"/>
        <w:gridCol w:w="109"/>
        <w:gridCol w:w="109"/>
        <w:gridCol w:w="109"/>
        <w:gridCol w:w="253"/>
        <w:gridCol w:w="776"/>
        <w:gridCol w:w="185"/>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compensation and benefits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7. Commitments and Contingencies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Operating Leases </w:t>
      </w:r>
    </w:p>
    <w:p>
      <w:pPr>
        <w:pStyle w:val="TextBody"/>
        <w:bidi w:val="0"/>
        <w:spacing w:lineRule="auto" w:line="288" w:before="0" w:after="360"/>
        <w:ind w:left="0" w:right="0" w:firstLine="720"/>
        <w:jc w:val="left"/>
        <w:rPr/>
      </w:pPr>
      <w:r>
        <w:rPr>
          <w:rFonts w:ascii="Arial;sans-serif" w:hAnsi="Arial;sans-serif"/>
          <w:b w:val="false"/>
          <w:color w:val="000000"/>
          <w:sz w:val="20"/>
        </w:rPr>
        <w:t>The Company leases office space under a noncancelable operating lease. There have been no material changes to the Company’s lease during the six months ended June 30, 2026. For additional information, see Note 7,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in the audited consolidated annual financial statements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Legal Proceedings </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was not subject to any material legal proceedings as of June 30, 2026, and the Company is not aware of any material legal proceedings that are currently pending or threatened.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Other Contracts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 enters into agreements in the ordinary course of business with contract research organizations and contract manufacturing organizations, which generally provide for termination on notice. Amounts payable upon termination are dependent on the timing of termination and the terms of the respective agreement.</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Company evaluates such arrangements on an ongoing basis and records a liability for obligations that are probable and reasonably estimable. For matters that do not meet these criteria, the Company considers whether disclosure is appropriate.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Indemnification Agreements </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however, the Company has not incurred any material costs as a result of such indemnifications nor experienced any losses related to them. As of June 30, 2026, the Company was not aware of any claims under indemnification arrangements and does not expect significant claims under indemnification arrangements and it has not accrued any liabilities related to such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8. License Agreements </w:t>
      </w:r>
    </w:p>
    <w:p>
      <w:pPr>
        <w:pStyle w:val="TextBody"/>
        <w:bidi w:val="0"/>
        <w:spacing w:lineRule="auto" w:line="288" w:before="0" w:after="360"/>
        <w:ind w:left="0" w:right="0" w:firstLine="720"/>
        <w:jc w:val="left"/>
        <w:rPr/>
      </w:pPr>
      <w:r>
        <w:rPr>
          <w:rFonts w:ascii="Arial;sans-serif" w:hAnsi="Arial;sans-serif"/>
          <w:b w:val="false"/>
          <w:color w:val="000000"/>
          <w:sz w:val="20"/>
        </w:rPr>
        <w:t>The Company has entered into several license agreements with third parties that typically involve payments from the Company, including up-front payments, milestone payments and royalty payments. The terms and conditions as well as accounting analysis for the Company’s significant license agreements are described in Note 9, “</w:t>
      </w:r>
      <w:r>
        <w:rPr>
          <w:rFonts w:ascii="Arial;sans-serif" w:hAnsi="Arial;sans-serif"/>
          <w:b w:val="false"/>
          <w:i/>
          <w:color w:val="000000"/>
          <w:sz w:val="20"/>
        </w:rPr>
        <w:t>License Agreements,</w:t>
      </w:r>
      <w:r>
        <w:rPr>
          <w:color w:val="000000"/>
        </w:rPr>
        <w:t xml:space="preserve">” </w:t>
      </w:r>
      <w:r>
        <w:rPr>
          <w:rFonts w:ascii="Arial;sans-serif" w:hAnsi="Arial;sans-serif"/>
          <w:b w:val="false"/>
          <w:color w:val="000000"/>
          <w:sz w:val="20"/>
        </w:rPr>
        <w:t>in the audited consolidated annual financial statements in the Annual Report. There have been no material changes to the terms and conditions, or accounting conclusions, previously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9. Stock-Based Compensation </w:t>
      </w:r>
    </w:p>
    <w:p>
      <w:pPr>
        <w:pStyle w:val="TextBody"/>
        <w:bidi w:val="0"/>
        <w:spacing w:lineRule="auto" w:line="288" w:before="0" w:after="120"/>
        <w:ind w:left="0" w:right="0" w:firstLine="720"/>
        <w:jc w:val="left"/>
        <w:rPr/>
      </w:pPr>
      <w:r>
        <w:rPr>
          <w:rFonts w:ascii="Arial;sans-serif" w:hAnsi="Arial;sans-serif"/>
          <w:b w:val="false"/>
          <w:color w:val="000000"/>
          <w:sz w:val="20"/>
        </w:rPr>
        <w:t>The Company’s stock-based compensation plans are described in Note 11,</w:t>
      </w:r>
      <w:r>
        <w:rPr>
          <w:color w:val="000000"/>
        </w:rPr>
        <w:t xml:space="preserve"> </w:t>
      </w:r>
      <w:r>
        <w:rPr>
          <w:rFonts w:ascii="Arial;sans-serif" w:hAnsi="Arial;sans-serif"/>
          <w:b w:val="false"/>
          <w:i/>
          <w:color w:val="000000"/>
          <w:sz w:val="20"/>
        </w:rPr>
        <w:t>"Common Stock,"</w:t>
      </w:r>
      <w:r>
        <w:rPr>
          <w:color w:val="000000"/>
        </w:rPr>
        <w:t xml:space="preserve"> </w:t>
      </w:r>
      <w:r>
        <w:rPr>
          <w:rFonts w:ascii="Arial;sans-serif" w:hAnsi="Arial;sans-serif"/>
          <w:b w:val="false"/>
          <w:color w:val="000000"/>
          <w:sz w:val="20"/>
        </w:rPr>
        <w:t>in the audited consolidated annual financial statements in the Annual Report. There have been no material changes to the Company’s stock-based compensation plans previously disclosed in the Annual Report.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Stock Option Activity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Company’s common stock option activity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tbl>
      <w:tblPr>
        <w:tblW w:w="9802" w:type="dxa"/>
        <w:jc w:val="left"/>
        <w:tblInd w:w="0" w:type="dxa"/>
        <w:tblLayout w:type="fixed"/>
        <w:tblCellMar>
          <w:top w:w="28" w:type="dxa"/>
          <w:left w:w="28" w:type="dxa"/>
          <w:bottom w:w="28" w:type="dxa"/>
          <w:right w:w="28" w:type="dxa"/>
        </w:tblCellMar>
      </w:tblPr>
      <w:tblGrid>
        <w:gridCol w:w="1238"/>
        <w:gridCol w:w="1089"/>
        <w:gridCol w:w="1092"/>
        <w:gridCol w:w="319"/>
        <w:gridCol w:w="319"/>
        <w:gridCol w:w="323"/>
        <w:gridCol w:w="109"/>
        <w:gridCol w:w="109"/>
        <w:gridCol w:w="109"/>
        <w:gridCol w:w="340"/>
        <w:gridCol w:w="1043"/>
        <w:gridCol w:w="178"/>
        <w:gridCol w:w="109"/>
        <w:gridCol w:w="109"/>
        <w:gridCol w:w="109"/>
        <w:gridCol w:w="520"/>
        <w:gridCol w:w="520"/>
        <w:gridCol w:w="521"/>
        <w:gridCol w:w="109"/>
        <w:gridCol w:w="109"/>
        <w:gridCol w:w="109"/>
        <w:gridCol w:w="227"/>
        <w:gridCol w:w="925"/>
        <w:gridCol w:w="167"/>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Common</w:t>
              <w:b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Weighted-Average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Aggregate</w:t>
              <w:br/>
              <w:t>Intrinsic Value</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December 31, 2025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5,767,799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168,007 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2,121,267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Cancelled or forfeited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as of June 30, 2026</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7,336,234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 as of June 30, 2026</w:t>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2,771,649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aggregate intrinsic value of stock options is calculated as the difference between the exercise price of the stock options and the estimated fair value of the Company’s common stock for those stock options that had exercise prices lower than the fair value of the Company’s common stock. </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grant date fair value of options granted during the three and six months ended June 30, 2026, was $27.06 per share and $27.91 per share, respectively. The total intrinsic value of stock options exercised during the three and six months ended June 30, 2026 was $2.7 million and $13.7 million, respectively.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Stock-Based Compensation Expense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2026, and 2025, the Company recorded stock-based compensation in the accompanying condensed consolidated statements of operations and comprehensive loss as follows (in thousands): </w:t>
      </w:r>
    </w:p>
    <w:tbl>
      <w:tblPr>
        <w:tblW w:w="8716" w:type="dxa"/>
        <w:jc w:val="left"/>
        <w:tblInd w:w="0" w:type="dxa"/>
        <w:tblLayout w:type="fixed"/>
        <w:tblCellMar>
          <w:top w:w="28" w:type="dxa"/>
          <w:left w:w="28" w:type="dxa"/>
          <w:bottom w:w="28" w:type="dxa"/>
          <w:right w:w="28" w:type="dxa"/>
        </w:tblCellMar>
      </w:tblPr>
      <w:tblGrid>
        <w:gridCol w:w="1190"/>
        <w:gridCol w:w="1046"/>
        <w:gridCol w:w="104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646"/>
        <w:gridCol w:w="109"/>
        <w:gridCol w:w="109"/>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there was $79.7 million of unrecognized stock-based compensation expense for common stock option awards that are expected to be recognized over a weighted average period of 2.8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10. Segment Information </w:t>
      </w:r>
    </w:p>
    <w:p>
      <w:pPr>
        <w:pStyle w:val="TextBody"/>
        <w:bidi w:val="0"/>
        <w:spacing w:lineRule="auto" w:line="288" w:before="0" w:after="24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segment net loss, including significant expense categories (in thousands):</w:t>
      </w:r>
    </w:p>
    <w:tbl>
      <w:tblPr>
        <w:tblW w:w="10205" w:type="dxa"/>
        <w:jc w:val="left"/>
        <w:tblInd w:w="0" w:type="dxa"/>
        <w:tblLayout w:type="fixed"/>
        <w:tblCellMar>
          <w:top w:w="28" w:type="dxa"/>
          <w:left w:w="28" w:type="dxa"/>
          <w:bottom w:w="28" w:type="dxa"/>
          <w:right w:w="28" w:type="dxa"/>
        </w:tblCellMar>
      </w:tblPr>
      <w:tblGrid>
        <w:gridCol w:w="1702"/>
        <w:gridCol w:w="1376"/>
        <w:gridCol w:w="1380"/>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55"/>
      </w:tblGrid>
      <w:tr>
        <w:trPr/>
        <w:tc>
          <w:tcPr>
            <w:tcW w:w="170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External research and development expenses</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expenses, excluding stock-based compensation</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and information technology allocated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expenses, excluding stock-based compensation</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General corporate and facility expenses</w:t>
            </w:r>
            <w:r>
              <w:rPr>
                <w:rFonts w:ascii="Arial;sans-serif" w:hAnsi="Arial;sans-serif"/>
                <w:b w:val="false"/>
                <w:color w:val="000000"/>
                <w:sz w:val="13"/>
              </w:rPr>
              <w:t>(2)</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segment items</w:t>
            </w:r>
            <w:r>
              <w:rPr>
                <w:rFonts w:ascii="Arial;sans-serif" w:hAnsi="Arial;sans-serif"/>
                <w:b w:val="false"/>
                <w:color w:val="000000"/>
                <w:sz w:val="13"/>
              </w:rPr>
              <w:t>(3)</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Arial;sans-serif" w:hAnsi="Arial;sans-serif"/>
          <w:b w:val="false"/>
          <w:color w:val="000000"/>
          <w:sz w:val="13"/>
        </w:rPr>
        <w:t>(1)</w:t>
      </w:r>
      <w:r>
        <w:rPr>
          <w:rFonts w:ascii="Arial;sans-serif" w:hAnsi="Arial;sans-serif"/>
          <w:b w:val="false"/>
          <w:color w:val="000000"/>
          <w:sz w:val="20"/>
        </w:rPr>
        <w:t>External research and development expenses consist primarily of costs paid to third-parties including contract research organizations, contract development and manufacturing organizations, consultants, advisors and lab-related vendors.</w:t>
      </w:r>
    </w:p>
    <w:p>
      <w:pPr>
        <w:pStyle w:val="TextBody"/>
        <w:bidi w:val="0"/>
        <w:spacing w:lineRule="auto" w:line="288" w:before="0" w:after="240"/>
        <w:ind w:left="0" w:right="0" w:firstLine="720"/>
        <w:jc w:val="left"/>
        <w:rPr/>
      </w:pPr>
      <w:r>
        <w:rPr>
          <w:rFonts w:ascii="Arial;sans-serif" w:hAnsi="Arial;sans-serif"/>
          <w:b w:val="false"/>
          <w:color w:val="000000"/>
          <w:sz w:val="13"/>
        </w:rPr>
        <w:t>(2)</w:t>
      </w:r>
      <w:r>
        <w:rPr>
          <w:rFonts w:ascii="Arial;sans-serif" w:hAnsi="Arial;sans-serif"/>
          <w:b w:val="false"/>
          <w:color w:val="000000"/>
          <w:sz w:val="20"/>
        </w:rPr>
        <w:t>General corporate and facility expenses consists primarily of professional services fees for legal, finance, human resources, medical affairs in addition to information technology expenses and rent expense, net of sublease income.</w:t>
      </w:r>
    </w:p>
    <w:p>
      <w:pPr>
        <w:pStyle w:val="TextBody"/>
        <w:bidi w:val="0"/>
        <w:spacing w:lineRule="auto" w:line="288" w:before="0" w:after="360"/>
        <w:ind w:left="0" w:right="0" w:firstLine="720"/>
        <w:jc w:val="left"/>
        <w:rPr/>
      </w:pPr>
      <w:r>
        <w:rPr>
          <w:rFonts w:ascii="Arial;sans-serif" w:hAnsi="Arial;sans-serif"/>
          <w:b w:val="false"/>
          <w:color w:val="000000"/>
          <w:sz w:val="13"/>
        </w:rPr>
        <w:t>(3)</w:t>
      </w:r>
      <w:r>
        <w:rPr>
          <w:rFonts w:ascii="Arial;sans-serif" w:hAnsi="Arial;sans-serif"/>
          <w:b w:val="false"/>
          <w:color w:val="000000"/>
          <w:sz w:val="20"/>
        </w:rPr>
        <w:t>Other segment items consists primarily of interest income, partially offset by taxes and non-cash expenses, such as stock-based compensation, depreciation, and amortization of discounts and premiums on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11. Net Loss Per Share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excluded the following shares from the computation of diluted net loss per share attributable to common stockholders as of June 30, 2026, and 2025, because including them would have had an anti-dilutive effect: </w:t>
      </w:r>
    </w:p>
    <w:tbl>
      <w:tblPr>
        <w:tblW w:w="5698" w:type="dxa"/>
        <w:jc w:val="left"/>
        <w:tblInd w:w="0" w:type="dxa"/>
        <w:tblLayout w:type="fixed"/>
        <w:tblCellMar>
          <w:top w:w="28" w:type="dxa"/>
          <w:left w:w="28" w:type="dxa"/>
          <w:bottom w:w="28" w:type="dxa"/>
          <w:right w:w="28" w:type="dxa"/>
        </w:tblCellMar>
      </w:tblPr>
      <w:tblGrid>
        <w:gridCol w:w="1169"/>
        <w:gridCol w:w="1024"/>
        <w:gridCol w:w="1031"/>
        <w:gridCol w:w="348"/>
        <w:gridCol w:w="348"/>
        <w:gridCol w:w="265"/>
        <w:gridCol w:w="169"/>
        <w:gridCol w:w="169"/>
        <w:gridCol w:w="169"/>
        <w:gridCol w:w="332"/>
        <w:gridCol w:w="332"/>
        <w:gridCol w:w="342"/>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7,336,234</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5,974,151</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7,336,234</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5,974,151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40"/>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The following discussion and analysis of our financial condition and results of operations should be read together with our condensed consolidated financial statements and related notes appearing elsewhere in this Quarterly Report and our Annual Report on Form 10-K for the year ended December 31, 2025, which was filed with the Securities and Exchange Commission (“SEC”) on March 2, 2026 (the “Annual Report”). </w:t>
      </w:r>
    </w:p>
    <w:p>
      <w:pPr>
        <w:pStyle w:val="TextBody"/>
        <w:bidi w:val="0"/>
        <w:spacing w:lineRule="auto" w:line="288" w:before="0" w:after="360"/>
        <w:ind w:left="0" w:right="0" w:firstLine="720"/>
        <w:jc w:val="left"/>
        <w:rPr>
          <w:rFonts w:ascii="Arial;sans-serif" w:hAnsi="Arial;sans-serif"/>
          <w:b w:val="false"/>
          <w:i/>
          <w:color w:val="000000"/>
          <w:sz w:val="20"/>
        </w:rPr>
      </w:pPr>
      <w:r>
        <w:rPr>
          <w:rFonts w:ascii="Arial;sans-serif" w:hAnsi="Arial;sans-serif"/>
          <w:b w:val="false"/>
          <w:i/>
          <w:color w:val="000000"/>
          <w:sz w:val="20"/>
        </w:rPr>
        <w:t>This discussion and analysis as well as other parts of this Quarterly Report contain forward-looking statements that involve risks and uncertainties, including but not limited to, information with respect to our plans and strategy for our business. As a result of many factors, including those set forth in the section titled “Risk Factors,” our actual results could differ materially from the results described in or implied by the forward-looking statements. You should carefully read, consider and evaluate the section titled “Risk Factors” to gain an understanding of the factors that could cause actual results to differ materially from our forward-looking statements. Please also see the section titled “Cautionary Note Regarding Forward-Looking Statements” included elsewhere in this Quarterly Report. Our historical results are not necessarily indicative of the results that may be expected for any period in the future. For convenience of presentation, some of the numbers have been rounded in the text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a clinical-stage biopharmaceutical company on a mission to revolutionize the current treatment paradigm for cystic fibrosis (“CF”) by developing novel medicines that normalize the function of the cystic fibrosis transmembrane conductance regulator (“CFTR”) protein to deliver clinically meaningful benefit to people with CF. Our goal is to deliver differentiated medicines for people with CF that can restore their CFTR function to as close to normal as possible by directly stabilizing CFTR’s nucleotide binding domain 1 (“NBD1”). We believe stabilizing NBD1 is central to unlocking dramatic improvements in clinical outcomes and quality of life for people with CF. We are also advancing a portfolio of complementary CFTR modulator candidates designed to work synergistically with our NBD1 stabilizers to improve CFTR function, as seen in preclinical models.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believe our robust pipeline provides multiple potential pathways to achieve our mission, either through development of an NBD1 stabilizer and a complementary modulator in combination with each other to produce a proprietary dual combination, or an NBD1 stabilizer administered in combination with the standard of care for CF. While we have prioritized development of a proprietary dual combination, we believe both development pathways offer attractive commercial opportunities.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June 2025, we announced positive topline data from our two randomized, double-blind, placebo-controlled Phase 1 clinical trials evaluating SION-719 and SION-451, our lead NBD1 stabilizer product candidates, in healthy volunteers, and our plans to advance both compounds to the next phase of clinical development. The trials assessed the safety, tolerability, and pharmacokinetics ("PK") of single and multiple ascending doses of each product candidate, as well as food effect and tablet bioequivalence.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Both SION-719 and SION-451 were generally well tolerated in these trials, with no serious adverse events, treatment-emergent adverse events that led to discontinuation of drug, or dose-limiting toxicities observed. The Phase 1 data also supported the use of a tablet formulation in future trials and indicated that both compounds could be dosed in a fed or fasted state. Both NBD1 stabilizers met target exposure thresholds. Based on the Phase 1 data and our preclinical CF human bronchial epithelial ("CFHBE") model, we believe our NBD1 stabilizers have the potential to provide clinically meaningful benefit for people with CF when SION-719 is administered as an add-on to the standard of care or when SION-451 is used in proprietary dual combinations with one of our complementary modulators.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April 2026, we announced the completion of enrollment in our Phase 2a proof-of-concept trial in CF patients evaluating SION-719 as an add-on to the standard of care. The Phase 2a trial, called PreciSION CF, is designed to evaluate the safety, tolerability, and PK of SION-719 when administered with the standard of care for CF, Vertex Pharmaceuticals, Inc.'s Trikafta, and to assess change in CFTR function as measured by sweat chloride levels. Additionally, in August 2025, we announced the initiation of a Phase 1 dual combination trial in healthy volunteers evaluating SION-451 in dual combinations with each of SION-2222 and SION-109, two of our complementary CFTR modulators. The trial will evaluate the safety, tolerability, and PK of varying doses of the dual combinations and will inform selection of a dual combination for further development. Topline data from both trials are anticipated in the summer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before="0" w:after="240"/>
        <w:ind w:left="0" w:right="0" w:firstLine="720"/>
        <w:jc w:val="left"/>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Liquidity and Financial Condition</w:t>
      </w:r>
    </w:p>
    <w:p>
      <w:pPr>
        <w:pStyle w:val="TextBody"/>
        <w:bidi w:val="0"/>
        <w:spacing w:lineRule="auto" w:line="288" w:before="0" w:after="240"/>
        <w:ind w:left="0" w:right="0" w:firstLine="720"/>
        <w:jc w:val="left"/>
        <w:rPr/>
      </w:pPr>
      <w:r>
        <w:rPr>
          <w:rFonts w:ascii="Arial;sans-serif" w:hAnsi="Arial;sans-serif"/>
          <w:b w:val="false"/>
          <w:color w:val="000000"/>
          <w:sz w:val="20"/>
          <w:shd w:fill="FFFFFF" w:val="clear"/>
        </w:rPr>
        <w:t xml:space="preserve">Since our inception, we have funded our operations primarily with proceeds from private placements of convertible preferred stock and through net proceeds from our initial public offering. </w:t>
      </w:r>
      <w:r>
        <w:rPr>
          <w:rFonts w:ascii="Arial;sans-serif" w:hAnsi="Arial;sans-serif"/>
          <w:b w:val="false"/>
          <w:color w:val="000000"/>
          <w:sz w:val="20"/>
        </w:rPr>
        <w:t>In March 2026, we entered into a sales agreement with Leerink Partners LLC (“Leerink”), to issue and sell shares of our common stock, from time to time, for aggregate gross sale proceeds of up to $250.0 million through an "at the market" equity offering program under which Leerink is acting as sales agent. As of June 30, 2026, we have not sold any shares of common stock under the sales agreement.</w:t>
      </w:r>
      <w:r>
        <w:rPr>
          <w:color w:val="000000"/>
          <w:shd w:fill="FFFFFF" w:val="clear"/>
        </w:rPr>
        <w:t xml:space="preserve">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we raised aggregate net proceeds of </w:t>
      </w:r>
      <w:r>
        <w:rPr>
          <w:rFonts w:ascii="Arial;sans-serif" w:hAnsi="Arial;sans-serif"/>
          <w:b w:val="false"/>
          <w:color w:val="000000"/>
          <w:sz w:val="20"/>
        </w:rPr>
        <w:t xml:space="preserve">$530.0 million from the sale and issuance of our preferred stock and our initial public offering. </w:t>
      </w:r>
      <w:r>
        <w:rPr>
          <w:rFonts w:ascii="Arial;sans-serif" w:hAnsi="Arial;sans-serif"/>
          <w:b w:val="false"/>
          <w:color w:val="000000"/>
          <w:sz w:val="20"/>
          <w:shd w:fill="FFFFFF" w:val="clear"/>
        </w:rPr>
        <w:t xml:space="preserve">We have not generated any revenue from product sales or other sources.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Due to our significant research, development and manufacturing expenditures, we have accumulated substantial losses and negative cash flows since our inception, including net losses of $56.7 million and $34.6 million for the six months ended June 30, 2026, and 2025, respectively. As of June 30, 2026, we had an accumulated deficit of $313.0 million.</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We expect our expenses and operating losses will increase substantially as we: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advance the clinical development of our current and future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advance our research activities and seek to discover and develop additional product candidates to expand our pipeline;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pursue regulatory approvals for any current or future product candidates that successfully complete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utilize third parties to manufacture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develop, maintain, expand, enforce, defend and protect our intellectual property portfolio (including intellectual property obtained through license agreements) and provide reimbursement of third-party expenses related to our patent portfolio;</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attract, hire and retain additional qualified personnel;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add operational, financial and management information systems;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undertake pre-commercial activities, and scale-up external commercial-scale manufacturing capabilities, to commercialize any current or future product candidates which may obtain regulatory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ultimately establish a sales, marketing and distribution infrastructure to commercialize any current or future product candidates which may receive regulatory approval;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incur additional audit, legal, regulatory, tax and other expenses associated with being a public company.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w:t>
      </w:r>
    </w:p>
    <w:p>
      <w:pPr>
        <w:pStyle w:val="TextBody"/>
        <w:bidi w:val="0"/>
        <w:spacing w:lineRule="auto" w:line="288" w:before="0" w:after="240"/>
        <w:ind w:left="0" w:right="0" w:firstLine="720"/>
        <w:jc w:val="left"/>
        <w:rPr/>
      </w:pPr>
      <w:r>
        <w:rPr>
          <w:rFonts w:ascii="Arial;sans-serif" w:hAnsi="Arial;sans-serif"/>
          <w:b w:val="false"/>
          <w:color w:val="000000"/>
          <w:sz w:val="20"/>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 arrangements. See the section titled “—</w:t>
      </w:r>
      <w:r>
        <w:rPr>
          <w:rFonts w:ascii="Arial;sans-serif" w:hAnsi="Arial;sans-serif"/>
          <w:b w:val="false"/>
          <w:i/>
          <w:color w:val="000000"/>
          <w:sz w:val="20"/>
        </w:rPr>
        <w:t>Liquidity and Capital Resources.</w:t>
      </w:r>
      <w:r>
        <w:rPr>
          <w:color w:val="000000"/>
        </w:rPr>
        <w:t xml:space="preserve">” </w:t>
      </w:r>
      <w:r>
        <w:rPr>
          <w:rFonts w:ascii="Arial;sans-serif" w:hAnsi="Arial;sans-serif"/>
          <w:b w:val="false"/>
          <w:color w:val="000000"/>
          <w:sz w:val="20"/>
        </w:rPr>
        <w:t xml:space="preserve">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rights to develop and market our product candidates even if we would otherwise prefer to develop and market such product candidates ourselves.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lineRule="auto" w:line="288" w:before="0" w:after="360"/>
        <w:ind w:left="0" w:right="0" w:firstLine="720"/>
        <w:jc w:val="left"/>
        <w:rPr/>
      </w:pPr>
      <w:r>
        <w:rPr>
          <w:rFonts w:ascii="Arial;sans-serif" w:hAnsi="Arial;sans-serif"/>
          <w:b w:val="false"/>
          <w:color w:val="000000"/>
          <w:sz w:val="20"/>
        </w:rPr>
        <w:t>As of June 30, 2026, we had cash, cash equivalents and marketable securities of $268.3 million. Based upon our current operating plans, we believe that our existing cash, cash equivalents and marketable securities will be sufficient to fund our operations into 2028. We have based this estimate on assumptions that may prove to be wrong, and we could exhaust our available capital resources sooner than we expect. See the sections titled “—</w:t>
      </w:r>
      <w:r>
        <w:rPr>
          <w:rFonts w:ascii="Arial;sans-serif" w:hAnsi="Arial;sans-serif"/>
          <w:b w:val="false"/>
          <w:i/>
          <w:color w:val="000000"/>
          <w:sz w:val="20"/>
        </w:rPr>
        <w:t>Liquidity and Capital Resources</w:t>
      </w:r>
      <w:r>
        <w:rPr>
          <w:color w:val="000000"/>
        </w:rPr>
        <w:t xml:space="preserve">” </w:t>
      </w:r>
      <w:r>
        <w:rPr>
          <w:rFonts w:ascii="Arial;sans-serif" w:hAnsi="Arial;sans-serif"/>
          <w:b w:val="false"/>
          <w:color w:val="000000"/>
          <w:sz w:val="20"/>
        </w:rPr>
        <w:t>and “</w:t>
      </w:r>
      <w:r>
        <w:rPr>
          <w:rFonts w:ascii="Arial;sans-serif" w:hAnsi="Arial;sans-serif"/>
          <w:b w:val="false"/>
          <w:i/>
          <w:color w:val="000000"/>
          <w:sz w:val="20"/>
        </w:rPr>
        <w:t>Risk Factors—Risks Related to Our Limited Operating History, Financial Condition and Need for Additional Capital</w:t>
      </w:r>
      <w:r>
        <w:rPr>
          <w:color w:val="000000"/>
        </w:rPr>
        <w:t xml:space="preserve">” </w:t>
      </w:r>
      <w:r>
        <w:rPr>
          <w:rFonts w:ascii="Arial;sans-serif" w:hAnsi="Arial;sans-serif"/>
          <w:b w:val="false"/>
          <w:color w:val="000000"/>
          <w:sz w:val="20"/>
        </w:rPr>
        <w:t>included elsewhere in thi</w:t>
      </w:r>
      <w:r>
        <w:rPr>
          <w:rFonts w:ascii="Arial;sans-serif" w:hAnsi="Arial;sans-serif"/>
          <w:b w:val="false"/>
          <w:color w:val="000000"/>
          <w:sz w:val="20"/>
          <w:shd w:fill="FFFFFF" w:val="clear"/>
        </w:rPr>
        <w:t xml:space="preserve">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License and Collaboration Agreements</w:t>
      </w:r>
    </w:p>
    <w:p>
      <w:pPr>
        <w:pStyle w:val="TextBody"/>
        <w:bidi w:val="0"/>
        <w:spacing w:lineRule="auto" w:line="288" w:before="0" w:after="360"/>
        <w:ind w:left="0" w:right="0" w:firstLine="720"/>
        <w:jc w:val="left"/>
        <w:rPr/>
      </w:pPr>
      <w:r>
        <w:rPr>
          <w:rFonts w:ascii="Arial;sans-serif" w:hAnsi="Arial;sans-serif"/>
          <w:b w:val="false"/>
          <w:color w:val="000000"/>
          <w:sz w:val="20"/>
        </w:rPr>
        <w:t>We have entered into several license agreements with various third parties. The terms and conditions as well as accounting analysis for our significant license agreements are described in Note 9, “</w:t>
      </w:r>
      <w:r>
        <w:rPr>
          <w:rFonts w:ascii="Arial;sans-serif" w:hAnsi="Arial;sans-serif"/>
          <w:b w:val="false"/>
          <w:i/>
          <w:color w:val="000000"/>
          <w:sz w:val="20"/>
        </w:rPr>
        <w:t>License Agreements,</w:t>
      </w:r>
      <w:r>
        <w:rPr>
          <w:color w:val="000000"/>
        </w:rPr>
        <w:t xml:space="preserve">” </w:t>
      </w:r>
      <w:r>
        <w:rPr>
          <w:rFonts w:ascii="Arial;sans-serif" w:hAnsi="Arial;sans-serif"/>
          <w:b w:val="false"/>
          <w:color w:val="000000"/>
          <w:sz w:val="20"/>
        </w:rPr>
        <w:t>in the audited consolidated annual financial statements in the Annual Report. There have been no material changes to the terms and conditions, or accounting conclusions, previously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To date, we have not generated any revenue. In the future, we may generate revenue from product sales from any approved product, which approval we do not expect to occur for at least the next several years, if ever, as well as collaboration or license agreements we may enter into with respect to our current or future product candidates.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complete clinical trials, our ability to generate future revenues, and our results of operations and financial position would be adversely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Our operating expenses consist of (i) research and development expenses and (ii) general and administrative expenses.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consist primarily of costs associated with the preclinical and clinical development of our current and potential future product candidates. In particular, our research and development expenses may include:</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personnel-related costs, including salaries, payroll tax, bonuses, benefits and stock-based compensation for employees engaged in research and development functions;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costs to acquire in-process research and development ("IPR&amp;D") with no alternative future use acquired in an asset acquisition;</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external expenses, including expenses incurred under arrangements with third parties, such as contract research organizations, contract development and manufacturing organizations, consultants and our scientific and clinical advisors;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cost of manufacturing our product candidates, including costs for laboratory supplies, research materials and reagents;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facility costs, depreciation and other expenses, which include direct and allocated expenses; and</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the cost of obtaining and maintaining patent and trade secret protection for our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recognize research and development costs in the periods during which they are incurred. Most of our research and development expenses have been related to identifying and developing our product candidates. Typically, external expenses are recognized based on an evaluation of the progress to 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because they either relate to early-stage research expenses, such as lab supplies or our personnel expenses, consulting fees or other costs that are deployed across multiple programs.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Our future development costs may vary significantly based on a variety of factors, including:</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timing, complexity and progress of preclinical and clinical development activities;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number and scope of preclinical and clinical programs we decide to pursue;</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extent to which we in-license or acquire other product candidates and technologies to further develop our pipeline;</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successful initiation and completion of clinical trials with safety, tolerability and efficacy profiles that are satisfactory to domestic and foreign regulatory authorities;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receipt of marketing approvals, if any, from applicable regulatory authorities;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development of commercial-scale manufacturing and distribution processes for our current and any future product candidates;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our ability to obtain, maintain and protect patent, trade secret protection and regulatory exclusivity for our product candidates, both in the U.S. and internationally;</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our ability to successfully recruit and retain additional employees;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the timing and amount of milestones, royalties or other payments we must make to our licensing partners; and</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the commercialization of our product candidates, if and when approved.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change in the outcome of any of these variables with respect to the development of any current or future product candidate could mean a significant change in the costs and timing associated with the development of that product candidate. For example, if the U.S. Food and Drug Administration ("FDA") or another regulatory authority were to delay a planned start of a clinical trial or require us to conduct clinical trials beyond those that we currently anticipate would be required for the completion of clinical development of a product candidate, or if we experience significant delays in our clinical trials due to slower than expected patient enrollment or other reasons, we could be required to expend significant additional financial resources and time on the completion of clinical development of that product candidate. We do not have control over many of these factors, including certain aspects of clinical development, the regulatory submissions process, potential threats to our intellectual property rights and general political and economic conditions that may negatively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business in the future. We may never obtain regulatory approval for any of our product candidates, and, even if we do, drug commercialization takes several years and millions of dollars in development costs.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legal fees relating to intellectual property and corporate matters, professional fees for auditing, accounting, tax and consulting services. Lastly, corporate overhead expenses such as information technology, insurance, facilities, and depreciation that are not allocated to the Company’s research and development activities are included in general and administrative expenses. We recognize general and administrative expenses in the periods in which they are incurred.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anticipate that our general and administrative expenses will increase in the future to support our increased research and development activities, pre-commercial preparation activities for our product candidates and any future product candidates and, if any product candidate receives marketing approval, commercialization activities. These increases will likely include increased costs related to the hiring of additional personnel and fees paid to outside consultants, among other expenses. We also anticipate increased expenses related to audit, accounting, legal and regulatory services associated with public company reporting and compliance, director and officer insurance premiums, investor and public relations costs and other administrative and professional services associated with operating as a public company.</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Interest income consists primarily of interest earned and the amortization of discount or premiums on our cash equivalents and investments in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Comparison of the Three Months Ended June 30, 2026 and 2025</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(in thousands):</w:t>
      </w:r>
    </w:p>
    <w:tbl>
      <w:tblPr>
        <w:tblW w:w="6686" w:type="dxa"/>
        <w:jc w:val="left"/>
        <w:tblInd w:w="0" w:type="dxa"/>
        <w:tblLayout w:type="fixed"/>
        <w:tblCellMar>
          <w:top w:w="28" w:type="dxa"/>
          <w:left w:w="28" w:type="dxa"/>
          <w:bottom w:w="28" w:type="dxa"/>
          <w:right w:w="28" w:type="dxa"/>
        </w:tblCellMar>
      </w:tblPr>
      <w:tblGrid>
        <w:gridCol w:w="940"/>
        <w:gridCol w:w="826"/>
        <w:gridCol w:w="828"/>
        <w:gridCol w:w="211"/>
        <w:gridCol w:w="811"/>
        <w:gridCol w:w="109"/>
        <w:gridCol w:w="109"/>
        <w:gridCol w:w="109"/>
        <w:gridCol w:w="109"/>
        <w:gridCol w:w="211"/>
        <w:gridCol w:w="811"/>
        <w:gridCol w:w="109"/>
        <w:gridCol w:w="109"/>
        <w:gridCol w:w="109"/>
        <w:gridCol w:w="109"/>
        <w:gridCol w:w="211"/>
        <w:gridCol w:w="81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research and development expenses (in thousands):</w:t>
      </w:r>
    </w:p>
    <w:tbl>
      <w:tblPr>
        <w:tblW w:w="8787" w:type="dxa"/>
        <w:jc w:val="left"/>
        <w:tblInd w:w="0" w:type="dxa"/>
        <w:tblLayout w:type="fixed"/>
        <w:tblCellMar>
          <w:top w:w="28" w:type="dxa"/>
          <w:left w:w="28" w:type="dxa"/>
          <w:bottom w:w="28" w:type="dxa"/>
          <w:right w:w="28" w:type="dxa"/>
        </w:tblCellMar>
      </w:tblPr>
      <w:tblGrid>
        <w:gridCol w:w="1804"/>
        <w:gridCol w:w="1586"/>
        <w:gridCol w:w="1590"/>
        <w:gridCol w:w="211"/>
        <w:gridCol w:w="751"/>
        <w:gridCol w:w="109"/>
        <w:gridCol w:w="109"/>
        <w:gridCol w:w="109"/>
        <w:gridCol w:w="109"/>
        <w:gridCol w:w="211"/>
        <w:gridCol w:w="751"/>
        <w:gridCol w:w="109"/>
        <w:gridCol w:w="109"/>
        <w:gridCol w:w="109"/>
        <w:gridCol w:w="109"/>
        <w:gridCol w:w="211"/>
        <w:gridCol w:w="646"/>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 research and development expenses by program:</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NBD1 and combination development programs</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Complementary modulator programs</w:t>
            </w:r>
            <w:r>
              <w:rPr>
                <w:rFonts w:ascii="Arial;sans-serif" w:hAnsi="Arial;sans-serif"/>
                <w:b w:val="false"/>
                <w:color w:val="000000"/>
                <w:sz w:val="13"/>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research and development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R&amp;D related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lab and 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pPr>
      <w:r>
        <w:rPr>
          <w:rFonts w:ascii="Arial;sans-serif" w:hAnsi="Arial;sans-serif"/>
          <w:b w:val="false"/>
          <w:color w:val="000000"/>
          <w:sz w:val="13"/>
        </w:rPr>
        <w:t>(1)</w:t>
      </w:r>
      <w:r>
        <w:rPr>
          <w:rFonts w:ascii="Arial;sans-serif" w:hAnsi="Arial;sans-serif"/>
          <w:b w:val="false"/>
          <w:color w:val="000000"/>
          <w:sz w:val="20"/>
        </w:rPr>
        <w:t xml:space="preserve">NBD1 and combination development program costs include NBD1 stabilizer activities and development of our proprietary combination therapy. </w:t>
      </w:r>
    </w:p>
    <w:p>
      <w:pPr>
        <w:pStyle w:val="TextBody"/>
        <w:bidi w:val="0"/>
        <w:spacing w:lineRule="auto" w:line="288" w:before="0" w:after="120"/>
        <w:ind w:left="0" w:right="0" w:firstLine="720"/>
        <w:jc w:val="left"/>
        <w:rPr/>
      </w:pPr>
      <w:r>
        <w:rPr>
          <w:rFonts w:ascii="Arial;sans-serif" w:hAnsi="Arial;sans-serif"/>
          <w:b w:val="false"/>
          <w:color w:val="000000"/>
          <w:sz w:val="13"/>
        </w:rPr>
        <w:t>(2)</w:t>
      </w:r>
      <w:r>
        <w:rPr>
          <w:rFonts w:ascii="Arial;sans-serif" w:hAnsi="Arial;sans-serif"/>
          <w:b w:val="false"/>
          <w:color w:val="000000"/>
          <w:sz w:val="20"/>
        </w:rPr>
        <w:t>Complementary modulator program costs include manufacturing expenses for the complementary modulators.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increased by $6.5 million to $21.9 million for the three months ended June 30, 2026, from $15.4 million for the three months ended June 30, 2025. The increase in research and development expenses was primarily due to:</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direct research and development expenses increased by $4.0 million primarily due to an increase in clinical programs and combination development activities; and</w:t>
      </w:r>
    </w:p>
    <w:p>
      <w:pPr>
        <w:pStyle w:val="TextBody"/>
        <w:bidi w:val="0"/>
        <w:spacing w:lineRule="auto" w:line="288" w:before="0" w:after="360"/>
        <w:ind w:left="0" w:right="0" w:hanging="360"/>
        <w:jc w:val="left"/>
        <w:rPr/>
      </w:pPr>
      <w:r>
        <w:rPr>
          <w:color w:val="000000"/>
        </w:rPr>
        <w:t>•</w:t>
      </w:r>
      <w:r>
        <w:rPr>
          <w:rFonts w:ascii="Arial;sans-serif" w:hAnsi="Arial;sans-serif"/>
          <w:b w:val="false"/>
          <w:color w:val="000000"/>
          <w:sz w:val="20"/>
        </w:rPr>
        <w:t xml:space="preserve">unallocated research and development expenses increased by $2.5 million primarily due to a $2.2 million increase in personnel-related expenses including stock-based compensation, driven by an increase in the size of our workforce to support our clinical pipeline. </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general and administrative expenses (in thousands):</w:t>
      </w:r>
    </w:p>
    <w:tbl>
      <w:tblPr>
        <w:tblW w:w="8774" w:type="dxa"/>
        <w:jc w:val="left"/>
        <w:tblInd w:w="0" w:type="dxa"/>
        <w:tblLayout w:type="fixed"/>
        <w:tblCellMar>
          <w:top w:w="28" w:type="dxa"/>
          <w:left w:w="28" w:type="dxa"/>
          <w:bottom w:w="28" w:type="dxa"/>
          <w:right w:w="28" w:type="dxa"/>
        </w:tblCellMar>
      </w:tblPr>
      <w:tblGrid>
        <w:gridCol w:w="1805"/>
        <w:gridCol w:w="1586"/>
        <w:gridCol w:w="1589"/>
        <w:gridCol w:w="219"/>
        <w:gridCol w:w="781"/>
        <w:gridCol w:w="113"/>
        <w:gridCol w:w="113"/>
        <w:gridCol w:w="113"/>
        <w:gridCol w:w="113"/>
        <w:gridCol w:w="219"/>
        <w:gridCol w:w="672"/>
        <w:gridCol w:w="113"/>
        <w:gridCol w:w="109"/>
        <w:gridCol w:w="109"/>
        <w:gridCol w:w="109"/>
        <w:gridCol w:w="211"/>
        <w:gridCol w:w="64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services &amp; fees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and depreciation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increased by $4.1 million to $10.6 million for the three months ended June 30, 2026, from $6.5 million for the three months ended June 30, 2025. The increase in general and administrative expenses was primarily due to:</w:t>
      </w:r>
    </w:p>
    <w:p>
      <w:pPr>
        <w:pStyle w:val="TextBody"/>
        <w:bidi w:val="0"/>
        <w:spacing w:lineRule="auto" w:line="288" w:before="0" w:after="360"/>
        <w:ind w:left="0" w:right="0" w:hanging="270"/>
        <w:jc w:val="left"/>
        <w:rPr/>
      </w:pPr>
      <w:r>
        <w:rPr>
          <w:color w:val="000000"/>
        </w:rPr>
        <w:t>•</w:t>
      </w:r>
      <w:r>
        <w:rPr>
          <w:rFonts w:ascii="Arial;sans-serif" w:hAnsi="Arial;sans-serif"/>
          <w:b w:val="false"/>
          <w:color w:val="000000"/>
          <w:sz w:val="20"/>
        </w:rPr>
        <w:t>$4.0 million increase in personnel-related expenses including stock-based compensation, driven by an increase in the size of our workforce.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Interest income decreased by $1.1 million to $2.6 million for the three months ended June 30, 2026, from $3.7 million for the three months ended June 30, 2025, primarily due to lower average balances of cash, cash equivalents and investments in marketable securities, reflecting the use of such balances to fund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results of operations (in thousands):</w:t>
      </w:r>
    </w:p>
    <w:tbl>
      <w:tblPr>
        <w:tblW w:w="6686" w:type="dxa"/>
        <w:jc w:val="left"/>
        <w:tblInd w:w="0" w:type="dxa"/>
        <w:tblLayout w:type="fixed"/>
        <w:tblCellMar>
          <w:top w:w="28" w:type="dxa"/>
          <w:left w:w="28" w:type="dxa"/>
          <w:bottom w:w="28" w:type="dxa"/>
          <w:right w:w="28" w:type="dxa"/>
        </w:tblCellMar>
      </w:tblPr>
      <w:tblGrid>
        <w:gridCol w:w="940"/>
        <w:gridCol w:w="826"/>
        <w:gridCol w:w="828"/>
        <w:gridCol w:w="211"/>
        <w:gridCol w:w="811"/>
        <w:gridCol w:w="109"/>
        <w:gridCol w:w="109"/>
        <w:gridCol w:w="109"/>
        <w:gridCol w:w="109"/>
        <w:gridCol w:w="211"/>
        <w:gridCol w:w="811"/>
        <w:gridCol w:w="109"/>
        <w:gridCol w:w="109"/>
        <w:gridCol w:w="109"/>
        <w:gridCol w:w="109"/>
        <w:gridCol w:w="211"/>
        <w:gridCol w:w="81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research and development expenses (in thousands):</w:t>
      </w:r>
    </w:p>
    <w:tbl>
      <w:tblPr>
        <w:tblW w:w="8892" w:type="dxa"/>
        <w:jc w:val="left"/>
        <w:tblInd w:w="0" w:type="dxa"/>
        <w:tblLayout w:type="fixed"/>
        <w:tblCellMar>
          <w:top w:w="28" w:type="dxa"/>
          <w:left w:w="28" w:type="dxa"/>
          <w:bottom w:w="28" w:type="dxa"/>
          <w:right w:w="28" w:type="dxa"/>
        </w:tblCellMar>
      </w:tblPr>
      <w:tblGrid>
        <w:gridCol w:w="1804"/>
        <w:gridCol w:w="1586"/>
        <w:gridCol w:w="1590"/>
        <w:gridCol w:w="211"/>
        <w:gridCol w:w="751"/>
        <w:gridCol w:w="109"/>
        <w:gridCol w:w="109"/>
        <w:gridCol w:w="109"/>
        <w:gridCol w:w="109"/>
        <w:gridCol w:w="211"/>
        <w:gridCol w:w="751"/>
        <w:gridCol w:w="109"/>
        <w:gridCol w:w="109"/>
        <w:gridCol w:w="109"/>
        <w:gridCol w:w="109"/>
        <w:gridCol w:w="211"/>
        <w:gridCol w:w="751"/>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 research and development expenses by program:</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NBD1 and combination development programs</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Complementary modulator programs</w:t>
            </w:r>
            <w:r>
              <w:rPr>
                <w:rFonts w:ascii="Arial;sans-serif" w:hAnsi="Arial;sans-serif"/>
                <w:b w:val="false"/>
                <w:color w:val="000000"/>
                <w:sz w:val="13"/>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research and development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R&amp;D related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lab and 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pPr>
      <w:r>
        <w:rPr>
          <w:rFonts w:ascii="Arial;sans-serif" w:hAnsi="Arial;sans-serif"/>
          <w:b w:val="false"/>
          <w:color w:val="000000"/>
          <w:sz w:val="13"/>
        </w:rPr>
        <w:t>(1)</w:t>
      </w:r>
      <w:r>
        <w:rPr>
          <w:rFonts w:ascii="Arial;sans-serif" w:hAnsi="Arial;sans-serif"/>
          <w:b w:val="false"/>
          <w:color w:val="000000"/>
          <w:sz w:val="20"/>
        </w:rPr>
        <w:t xml:space="preserve">NBD1 and combination development program costs include NBD1 stabilizer activities and development of our proprietary combination therapy. </w:t>
      </w:r>
    </w:p>
    <w:p>
      <w:pPr>
        <w:pStyle w:val="TextBody"/>
        <w:bidi w:val="0"/>
        <w:spacing w:lineRule="auto" w:line="288" w:before="0" w:after="120"/>
        <w:ind w:left="0" w:right="0" w:firstLine="720"/>
        <w:jc w:val="left"/>
        <w:rPr/>
      </w:pPr>
      <w:r>
        <w:rPr>
          <w:rFonts w:ascii="Arial;sans-serif" w:hAnsi="Arial;sans-serif"/>
          <w:b w:val="false"/>
          <w:color w:val="000000"/>
          <w:sz w:val="13"/>
        </w:rPr>
        <w:t>(2)</w:t>
      </w:r>
      <w:r>
        <w:rPr>
          <w:rFonts w:ascii="Arial;sans-serif" w:hAnsi="Arial;sans-serif"/>
          <w:b w:val="false"/>
          <w:color w:val="000000"/>
          <w:sz w:val="20"/>
        </w:rPr>
        <w:t>Complementary modulator program costs include manufacturing expenses for the complementary modulators.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Research and development expenses increased by $11.8 million to $40.8 million for the six months ended June 30, 2026, from $29.1 million for the six months ended June 30, 2025. The increase in research and development expenses was primarily due to:</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direct research and development expenses increased by $6.5 million primarily due to an increase in clinical programs and combination development activities; and</w:t>
      </w:r>
    </w:p>
    <w:p>
      <w:pPr>
        <w:pStyle w:val="TextBody"/>
        <w:bidi w:val="0"/>
        <w:spacing w:lineRule="auto" w:line="288" w:before="0" w:after="360"/>
        <w:ind w:left="0" w:right="0" w:hanging="360"/>
        <w:jc w:val="left"/>
        <w:rPr/>
      </w:pPr>
      <w:r>
        <w:rPr>
          <w:color w:val="000000"/>
        </w:rPr>
        <w:t>•</w:t>
      </w:r>
      <w:r>
        <w:rPr>
          <w:rFonts w:ascii="Arial;sans-serif" w:hAnsi="Arial;sans-serif"/>
          <w:b w:val="false"/>
          <w:color w:val="000000"/>
          <w:sz w:val="20"/>
        </w:rPr>
        <w:t xml:space="preserve">unallocated research and development expenses increased by $5.2 million primarily due to a $4.6 million increase in personnel-related expenses including stock-based compensation, driven by an increase in the size of our workforce to support our clinical pipeline.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general and administrative expenses (in thousands):</w:t>
      </w:r>
    </w:p>
    <w:tbl>
      <w:tblPr>
        <w:tblW w:w="8787" w:type="dxa"/>
        <w:jc w:val="left"/>
        <w:tblInd w:w="0" w:type="dxa"/>
        <w:tblLayout w:type="fixed"/>
        <w:tblCellMar>
          <w:top w:w="28" w:type="dxa"/>
          <w:left w:w="28" w:type="dxa"/>
          <w:bottom w:w="28" w:type="dxa"/>
          <w:right w:w="28" w:type="dxa"/>
        </w:tblCellMar>
      </w:tblPr>
      <w:tblGrid>
        <w:gridCol w:w="1805"/>
        <w:gridCol w:w="1586"/>
        <w:gridCol w:w="1589"/>
        <w:gridCol w:w="211"/>
        <w:gridCol w:w="751"/>
        <w:gridCol w:w="109"/>
        <w:gridCol w:w="109"/>
        <w:gridCol w:w="109"/>
        <w:gridCol w:w="109"/>
        <w:gridCol w:w="211"/>
        <w:gridCol w:w="751"/>
        <w:gridCol w:w="109"/>
        <w:gridCol w:w="109"/>
        <w:gridCol w:w="109"/>
        <w:gridCol w:w="109"/>
        <w:gridCol w:w="211"/>
        <w:gridCol w:w="64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Personnel-related (including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Professional services &amp;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and 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expenses increased by $8.7 million to $21.2 million for the six months ended June 30, 2026, from $12.5 million for the six months ended June 30, 2025. The increase in general and administrative expenses was primarily due to:</w:t>
      </w:r>
    </w:p>
    <w:p>
      <w:pPr>
        <w:pStyle w:val="TextBody"/>
        <w:bidi w:val="0"/>
        <w:spacing w:lineRule="auto" w:line="288" w:before="0" w:after="360"/>
        <w:ind w:left="0" w:right="0" w:hanging="270"/>
        <w:jc w:val="left"/>
        <w:rPr/>
      </w:pPr>
      <w:r>
        <w:rPr>
          <w:color w:val="000000"/>
        </w:rPr>
        <w:t>•</w:t>
      </w:r>
      <w:r>
        <w:rPr>
          <w:rFonts w:ascii="Arial;sans-serif" w:hAnsi="Arial;sans-serif"/>
          <w:b w:val="false"/>
          <w:color w:val="000000"/>
          <w:sz w:val="20"/>
        </w:rPr>
        <w:t>$8.9 million increase in personnel-related expenses including stock-based compensation, driven by an increase in the size of our workforce.</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Interest income decreased by $1.3 million to $5.4 million for the six months ended June 30, 2026, from $6.7 million for the six months ended June 30, 2025, primarily due to lower average balances of cash, cash equivalents and investments in marketable securities, reflecting the use of such balances to fund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As such, we expect our research and development and general and administrative costs will continue to increase significantly, including the costs associated with operating as a public company. As a result, we will need additional capital to fund our operations, which we may obtain from additional equity or debt financings or strategic agreements.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March 2026, we entered into a sales agreement with Leerink to issue and sell shares of our common stock, from time to time, for aggregate gross sale proceeds of up to $250.0 million through an "at the market" equity offering program under which Leerink is acting as sales agent. As of June 30, 2026, we have not sold any shares of common stock under the sales agreement.</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$268.3 million in cash, cash equivalents and marketable securities.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a summary of the net cash flow activity (in thousands):</w:t>
      </w:r>
    </w:p>
    <w:tbl>
      <w:tblPr>
        <w:tblW w:w="7854" w:type="dxa"/>
        <w:jc w:val="left"/>
        <w:tblInd w:w="0" w:type="dxa"/>
        <w:tblLayout w:type="fixed"/>
        <w:tblCellMar>
          <w:top w:w="28" w:type="dxa"/>
          <w:left w:w="28" w:type="dxa"/>
          <w:bottom w:w="28" w:type="dxa"/>
          <w:right w:w="28" w:type="dxa"/>
        </w:tblCellMar>
      </w:tblPr>
      <w:tblGrid>
        <w:gridCol w:w="1891"/>
        <w:gridCol w:w="1658"/>
        <w:gridCol w:w="1671"/>
        <w:gridCol w:w="211"/>
        <w:gridCol w:w="811"/>
        <w:gridCol w:w="109"/>
        <w:gridCol w:w="109"/>
        <w:gridCol w:w="109"/>
        <w:gridCol w:w="109"/>
        <w:gridCol w:w="211"/>
        <w:gridCol w:w="81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202,077 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For the six months ended June 30, 2026, net cash used in operating activities was $44.1 million primarily due to our net loss of $56.7 million and changes in operating assets and liabilities of $1.7 million, partially offset by $14.3 million of net non-cash charges, which includes stock-based compensation, depreciation, non-cash operating lease expense and amortization of discounts on marketable securities.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For the six months ended June 30, 2025, net cash used in operating activities was $34.4 million primarily due to our net loss of $34.6 million and changes in operating assets and liabilities of $4.2 million, partially offset by $4.4 million of net non-cash charges, which includes stock-based compensation, depreciation, non-cash operating lease expense and amortization of discounts on marketable securities.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investing activities was $46.3 million during the six months ended June 30, 2026, which was primarily driven by maturities of marketable securities of $104.6 million, partially offset by purchases of marketable securities of $58.4 million.</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Net cash used in investing activities was $164.4 million during the six months ended June 30, 2025, which was primarily driven by purchases of marketable securities of $228.0 million, partially offset by maturities of marketable securities of $63.7 million.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financing activities was $2.6 million during the six months ended June 30, 2026, primarily due to exercise proceeds totaling $3.2 million, partially offset by payments of deferred offering costs of $0.6 million related to the sales agreement entered into in March 2026.</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Net cash provided by financing activities was $202.1 million during the six months ended June 30, 2025, during which time the Company closed its initial public offering.</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Future Funding Requirements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cash, cash equivalents and marketable securities of $268.3 million. Based upon our current operating plans, we believe that our existing cash, cash equivalents and investments in marketable securities, will be sufficient to fund our operations into 2028. However, our forecast for the period of time through which our financial resources will be adequate to support our operations is a forward-looking statement that involves risks and uncertainties, and actual results could vary materially. Additionally, conducting preclinical studies and clinical trials is costly, and the timing of progress and expenses in these studies and trials is uncertain. We will need to raise substantial additional capital in the future.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Our future funding requirements will depend largely 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type, number, scope, progress, expansions, results, costs and timing of discovery, preclinical studies and clinical trials of our current and future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and timing of manufacturing for our current and future product candidates and commercial manufacturing;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timing and outcome of regulatory review of our current and future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timing and amount of milestones, royalties, or other payments we may be required to make to third parties, including Sanofi SA, the Cystic Fibrosis Foundation and AbbVie, and the terms and timing of establishing and maintaining any other similar arrangements we may enter into in the future;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legal costs of obtaining, maintaining and enforcing our patents and other intellectual property rights;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efforts to enhance operational systems and hire additional personnel to satisfy our obligations as a public company;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associated with hiring additional personnel and consultants as our clinical activities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and timing of establishing or securing sales and marketing capabilities if any current or future product candidate is approved;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achieve sufficient market acceptance, coverage and adequate reimbursement from third-party payors and adequate market share and revenue for any approved products;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financial terms of any such agreement that we may enter into, including if we in-license or acquire additional product candidates or intellectual property;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costs to add additional operational, financial, clinical, quality and management information systems.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If we are unable to raise additional funds, we may be required to delay, limit, reduce or terminate our product development or future commercialization efforts.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Contractual Obligations and Commitments</w:t>
      </w:r>
    </w:p>
    <w:p>
      <w:pPr>
        <w:pStyle w:val="TextBody"/>
        <w:bidi w:val="0"/>
        <w:spacing w:lineRule="auto" w:line="288" w:before="0" w:after="360"/>
        <w:ind w:left="0" w:right="0" w:firstLine="720"/>
        <w:jc w:val="left"/>
        <w:rPr/>
      </w:pPr>
      <w:r>
        <w:rPr>
          <w:rFonts w:ascii="Arial;sans-serif" w:hAnsi="Arial;sans-serif"/>
          <w:b w:val="false"/>
          <w:color w:val="000000"/>
          <w:sz w:val="20"/>
        </w:rPr>
        <w:t>During the six months ended June 30, 2026, we evaluated certain contractual arrangements with a contract manufacturing organization and recognized related costs during the period. We evaluate such arrangements on an ongoing basis. Other than this matter, there were no material changes to our contractual obligations and commitments described under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are based on our consolidated financial statements, which are prepared in accordance with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pStyle w:val="TextBody"/>
        <w:bidi w:val="0"/>
        <w:spacing w:lineRule="auto" w:line="288" w:before="0" w:after="360"/>
        <w:ind w:left="0" w:right="0" w:firstLine="720"/>
        <w:jc w:val="left"/>
        <w:rPr/>
      </w:pPr>
      <w:r>
        <w:rPr>
          <w:rFonts w:ascii="Arial;sans-serif" w:hAnsi="Arial;sans-serif"/>
          <w:b w:val="false"/>
          <w:color w:val="000000"/>
          <w:sz w:val="20"/>
        </w:rPr>
        <w:t>During the six months ended June 30, 2026, there were no material changes to our critical accounting estimates described under "</w:t>
      </w:r>
      <w:r>
        <w:rPr>
          <w:rFonts w:ascii="Arial;sans-serif" w:hAnsi="Arial;sans-serif"/>
          <w:b w:val="false"/>
          <w:i/>
          <w:color w:val="000000"/>
          <w:sz w:val="20"/>
        </w:rPr>
        <w:t>Management’s Discussion and Analysis of Financial Condition and Results of Operations</w:t>
      </w:r>
      <w:r>
        <w:rPr>
          <w:rFonts w:ascii="Arial;sans-serif" w:hAnsi="Arial;sans-serif"/>
          <w:b w:val="false"/>
          <w:color w:val="000000"/>
          <w:sz w:val="20"/>
        </w:rPr>
        <w:t>"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360"/>
        <w:ind w:left="0" w:right="0" w:firstLine="720"/>
        <w:jc w:val="left"/>
        <w:rPr/>
      </w:pPr>
      <w:r>
        <w:rPr>
          <w:rFonts w:ascii="Arial;sans-serif" w:hAnsi="Arial;sans-serif"/>
          <w:b w:val="false"/>
          <w:color w:val="000000"/>
          <w:sz w:val="20"/>
        </w:rPr>
        <w:t>A description of recently issued accounting pronouncements that may potentially impact our financial position and results of operations is disclosed in Note 2,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consolidated financial statements and our unaudited interim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Emerging Growth Company and Smaller Reporting Company Status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also a “smaller reporting company” as defined in the Exchange Act.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 Based on the market value of our common stock held by our non-affiliates as of June 30, 2026, we will no longer be a “smaller reporting company” as of January 1, 2027, but remain eligible to use the requirements of a smaller reporting company until our Quarterly Report on Form 10-Q for the quarter ending March 31, 2027.</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As a "smaller reporting company," as defined by Rule 12b-2 of the Exchange Act, and pursuant to Item 305 of Regulation S-K, we are not required to provide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Management's Evaluation of Disclosure Controls and Procedures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maintain disclosure controls and procedures designed to ensure that information required to be disclosed by us in the reports we file or submit under the Exchange Act is recorded, processed, summarized and reported within the time periods specified in the SEC’s rules and forms. Our disclosure controls and procedures are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at the reasonable assurance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360"/>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Our future operating results could differ materially from the results described in this Quarterly Report due to the risks and uncertainties described below. You should consider carefully the following information about risks below in evaluating our business. If any of the following risks actually occur, our business, financial condition, results of operations and future growth prospects will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2 of this Quarterly Report for discussion of some of the forward-looking statements that are qualified by these risk factors. Factors that could cause or contribute to such differences include those factors discussed below. </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Our Limited Operating History, Financial Condition and Need for Additional Capital</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a clinical-stage biopharmaceutical company and have incurred significant operating losses since inception and anticipate that we will continue to incur significant operating losses for the foreseeable future. Our net losses were $56.7 million and $34.6 million for the six months ended June 30, 2026, and 2025, respectively. We had an accumulated deficit of $313.0 million as of June 30, 2026. We may never achieve or maintain profitability.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a clinical-stage biopharmaceutical company with a limited operating history. We have incurred operating losses in each year since our inception. Our net losses were $56.7 million and $34.6 million for the six months ended June 30, 2026, and 2025, respectively. We had an accumulated deficit of $313.0 million as of June 30, 2026.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equity and working capital.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Since our inception in 2019,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limited operating history makes any assessment of our future success and viability subject to significant uncertainty. In addition, if we obtain marketing approval for any of our product candidates, we will incur significant sales, marketing and manufacturing expenses. We expect to continue to incur significant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amount of our future losses is uncertain, and our quarterly operating results may fluctuate significantly or may fall below the expectations of investors or securities analysts, each of which may cause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stock price to fluctuate or decline. Our operating losses may fluctuate significantly from quarter to quarter and from year to year. We anticipate that our expenses will increase substantially if, and as, we: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advance clinical development of our current and future product candidates, including conducting our ongoing and planned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advance our research and preclinical activities and seek to discover and develop additional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utilize third parties to manufacture our product candidates and ensure sufficient supply of our manufacturing of drug substances and drug products;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continue to develop, maintain, expand and protect our intellectual property portfolio (including intellectual property obtained through license agreements) and provide reimbursement of third-party expenses related to our patent portfolio;</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attract, hire and retain additional qualified personnel;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seek regulatory approvals for any current or future product candidates that successfully complete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make any potential milestones, royalties or other payments due under any current or future in-license, collaboration or other agreements;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undertake any pre-commercial activities and scale up external commercial-scale manufacturing capabilities;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ultimately establish a sales, marketing and distribution infrastructure to commercialize any product candidates for which we may obtain regulatory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add additional operational, financial, clinical, quality and management information systems;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incur additional audit, legal, regulatory, tax and other expenses with being a public company.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will need substantial additional funding to develop and, if approved, commercialize our product candidates and identify and invest in new product candidates. We may be unable to raise capital on acceptable terms, if at all, and, as a result, we may be required to delay, reduce or eliminate our product development programs or commercialization efforts.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our current and any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we had cash, cash equivalents and marketable securities of $268.3 million. We believe that, based upon our current operating plans, our existing cash, cash equivalents and marketable securities will be sufficient to fund our operations into 2028.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regulations. Our future capital requirements will depend on, and could increase significantly as a result of, many factors,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scope, timing, progress, costs, complexity and results of discovery, preclinical development and clinical trials for our current or future product candidates, including any additional expenses attributable to adjusting our anticipated development plans;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number of clinical trials required for regulatory approvals of our current or future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extent to which we develop, in-license or acquire other product candidates in our pipeline;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and timing of process development and manufacturing scale-up activities associated with our product candidates and other programs as we advance them through preclinical and clinical development and, if approved, commercialization;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number and development requirements of product candidates that we may pursue;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timing and amount of the milestone, royalty or other payments we must make to Sanofi SA (“Sanofi”), the Cystic Fibrosis Foundation, AbbVie Global Enterprises Ltd. (“AbbVie”) and any other third parties;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timing and outcome of regulatory review of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headcount growth and associated costs as we expand our research and development capabilities and establish a commercial infrastructure;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achieve sufficient market acceptance, coverage and adequate reimbursement from third-party payors (or patients’ willingness to pay out-of-pocket for any approved products in the absence of such coverage) and adequate market share and revenue for any approved products;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revenue, if any, received from commercial sales of any product candidates for which we receive marketing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effect of macroeconomic trends including fluctuating inflation rates, capital markets disruption, and interest rates;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addressing any potential supply chain interruptions or delays, which may be due in part to international tariffs;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costs of operating as a public company.</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potentially worsening global economic conditions and the recent disruptions to and volatility in the credit and financial markets in the United States (“U.S.”) and worldwide resulting from factors that include but are not limited to, fluctuating inflation and capital markets disruptions, international tariffs, ongoing conflicts between Russia and Ukraine and in the Middle East, diminished liquidity and credit availability, declines in consumer confidence, declines in economic growth, increases in unemployment rates, uncertainty about economic stability and other factors. For example, the U.S. government has imposed substantial tariffs on most countries throughout the world and has further threatened to continue to broadly impose tariffs, which could lead to corresponding punitive actions by the countries with which the U.S. trades. If the equity and credit markets continue to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Raising additional capital may cause dilution to our stockholders, restrict our operations or require us to relinquish rights to our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To the extent that we raise additional capital through the sale of equity or convertible debt securities, our stockholders' ownership interest may be diluted, and the terms of these securities may include liquidation or other preferences that adversely affect our stockholders'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the Discovery and Development of Our Product Candidates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substantially dependent on the success of at least one of our nucleotide binding domain 1 ("NBD1") stabilizers. If we are unable to advance an NBD1 stabilizer product candidate into later-stage clinical development or unable to obtain regulatory approval and commercialize an NBD1 stabilizer-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anchored combination therapy for the treatment of cystic fibrosis, or experience significant delays in doing so, our business will be materially harmed.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To date, as an organization, we have not completed the development of any product candidates. We are substantially dependent on the success of at least one of our NBD1 stabilizer product candidates, SION-719 and SION-451, which are currently in development for the treatment of cystic fibrosis ("CF"). Our NBD1 stabilizers are being developed for use either in combination with one of our complementary modulator candidates or the standard of care. We expect to report in the summer of 2026 topline data from a Phase 2a proof-of-concept clinical trial evaluating SION-719 as an add-on to the standard of care for CF and a Phase 1 trial evaluating SION-451 in dual combinations with each of galicaftor (SION-2222) and SION-109.</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success of SION-719, SION-451 and our other product candidates will depend on several factors, including the following: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successful and timely initiation and enrollment of clinical trials and completion of clinical trials with favorable results;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safety, tolerability and pharmacokinetic profile of our product candidates observed in clinical trials, including in combination with the standard of care;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acceptance of regulatory submissions by the U.S. Food and Drug Administration (“FDA”) and/ or comparable foreign regulatory authorities for the conduct of clinical trials of our product candidates, and the proposed design of our planned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frequency and severity of adverse safety findings in nonclinical studies and adverse events (“AEs”) in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timely and successful completion of preclinical studies, including toxicology studies, biodistribution studies and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dose projection studies in animals, where applicable;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acceptance of our products, if approved, by CF patients, the medical community and third-party payors, and their perspective on the cost, safety, tolerability and efficacy and perceived advantages of alternative therapies for CF, including the standard of care;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maintaining relationships with contract research organizations (“CROs”) and clinical sites for the clinical development of our product candidates and the ability of such CROs and clinical sites to comply with clinical trial protocols, Good Clinical Practices (“GCPs”) and other applicable requirements;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demonstrating the safety and efficacy of our product candidates to the satisfaction of applicable regulatory authorities;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receipt and maintenance of marketing approvals from applicable regulatory authorities for our initial target indication and label expansions to include new populations;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establish and maintain relationships with third-party manufacturers and their ability to comply with current good manufacturing practices (“cGMPs”), as well as our ability to make arrangements with third-party manufacturers to ensure adequate supply for our clinical trials and commercial manufacturing capabilities at a cost and scale sufficient to support commercialization;</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availability of drug substance and drug product for use in production of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establishing sales, marketing and distribution capabilities and launching commercial sales of our product candidates, if and when approved, whether alone or in collaboration with others;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obtaining, establishing, maintaining and enforcing patent and any potential trade secret protection or regulatory exclusivity for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maintaining an acceptable safety profile of our product candidates following regulatory approvals, if any;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 xml:space="preserve">the sufficiency of our financial resources to fund our operations and our ability to raise necessary additional funds; </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impact of competition with other products approved for the treatment of CF and product candidates in development for the treatment of CF;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maintaining and growing an organization of people who can develop and, if approved, commercialize, market and sell our current or future product candidates.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If we are unable to develop, receive marketing approval for and successfully commercialize our product candidates, or if we experience delays as a result of any of the above factors or otherwise, our business would be significantly harmed.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early in our development efforts. If we are unable to successfully develop, receive regulatory approval for and commercialize any product candidate, or experience significant delays in doing so, our business will be substantially harmed.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early in our development efforts. Each of our product candidates will require additional preclinical and/or clinical development and regulatory approval, and will require us to obtain sufficient manufacturing supply, capacity and expertise. We have not completed any clinical trials of our product candidates in any CF patients to date. Further, we will be required to build a commercial organization or successfully outsource commercialization, and make substantial investment and significant marketing efforts before we generate any revenue from product sales, if ever. Given our early stage of development, it will take several years before we can demonstrate the safety and efficacy of a product candidate sufficient to warrant approval for commercialization, if we can do so at all.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do not have complete control over many of the factors that affect our development efforts,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Further, conducting clinical trials in foreign countries, as we are currently doing and plan to do in the future for our current or future product candidates,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would be materially harmed.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intend to develop a proprietary dual combination of an NBD1 stabilizer with a complementary modulator and/or an NBD1 stabilizer as an add-on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current treatment paradigm in CF for all patients with the F508del mutation is based on a combination of drug therapies. We expect to report in the summer of 2026 topline data from a Phase 2a proof-of-concept trial in CF patients evaluating SION-719 in combination with the standard of care and a Phase 1 trial evaluating SION-451 in dual combinations with SION-2222 and SION-109. The development of a proprietary dual combination is our prioritized development path. In either development scenario, the use of our product candidates in combination with each other or with an approved product may subject us to risks that we would not face if our product candidates were being developed to be administered as a monotherapy.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example, either the combination of our product candidates with each other, or an NBD1 stabilizer with the standard of care, may result in adverse side effects or toxicities that the product candidates or other therapy do not produce when used alone. In addition, the product candidates may interact with each other,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 the approved product, in undesirable ways that could negatively impact the efficacy of our product candidates, any components of the approved product, or the combination as a whole. Testing product candidates in combination with each other and with an approved therapy may increase the risk of significant adverse effects or failed clinical trials. The timing, outcome and cost of developing products to be used in combination with other therapies is difficult to predict and dependent on a number of factors that are outside our reasonable control.</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to the extent we choose to develop and commercialize a product candidate for use in combination with an approved therapy, any safety, efficacy, regulatory, manufacturing or supply issues that could arise with respect to the approved therapy could have an adverse impact on us. Prescribing information for the approved therapy, such as risk information like a boxed warning, or limitations of use, could negatively impact our ability to develop and commercialize a product as an add-on to the approved therapy. If the approved therapy is replaced as the standard of care, the FDA or comparable foreign regulatory authorities may require us to conduct additional clinical trials, the outcome of which would be uncertain and may not be predicted by earlier trials, or we may not be able to obtain adequate reimbursement from third-party payors. Further, the FDA or comparable foreign regulatory authorities could revoke approval of a therapy we evaluate in combination with our product candidate.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occurrence of any of these risks could result in an add-on product candidate, if developed and approved, being removed from the market or being less successful commercially. If the FDA or comparable foreign regulatory authorities revoke their approval of, or if safety, efficacy, manufacturing, or supply issues arise with respect to, therapies we choose to evaluate in combination with any of our product candidates, we may be unable to obtain regulatory approval of or to commercialize such product candidates in combination with these therapies. If we experience safety, tolerability or toxicity issues in any of our ongoing or planned combination treatment clinical trials, or the data from these trials regarding the efficacy of the combinations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regulatory approval processes of the FDA and comparable foreign authorities are lengthy, time-consuming and inherently unpredictable. If we are not able to obtain the required regulatory approval for any product candidate, our business will be substantially harmed.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not permitted to market, commercialize, sell or promote any product candidate in the U.S. until we receive regulatory approval of a new drug application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in the future.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Prior to obtaining approval to commercialize any product candidate in the U.S. or abroad, we must demonstrate with substantial evidence from well-controlled clinical trials, to the satisfaction of the FDA or comparable foreign regulatory authorities, that such product candidate is safe and effective for its intended use.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 For example, to receive regulatory approval for an NBD1 stabilizer as an add-on to standard of care, we would have to demonstrate clinically meaningful improvements in efficacy with the NBD1 stabilizer co-administered with the standard of care, as compared to the standard of care alone. It may be harder to show a clinically meaningful improvement in efficacy in a clinical trial where all participants are receiving the standard of care. Furthermore, because we intend to develop an NBD1 stabilizer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product candidate in combination with one of our complementary modulator product candidates, we will have to satisfy the regulatory agencies’ requirements to demonstrate the contribution of each component in the combination. As neither product candidate in this potential combination is an approved drug, the FDA and other regulatory authorities will require full demonstration of the safety of each component (alone and in combination), as well as the efficacy of the combination (and the contribution of each component). In either combination product scenario (proprietary dual combination or add-on to standard of care), additional safety, efficacy and/or drug-drug interaction data may be required relative to what would be required for a monotherapy.</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Our current and future product candidates could be delayed in receiving, or fail to receive, regulatory approval for many reasons, including the following: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FDA or comparable foreign regulatory authorities may disagree as to the design or implementation of our clinical trials and interpretation of data from clinical trials or preclinical studies;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be unable to demonstrate to the satisfaction of the FDA or comparable foreign regulatory authorities that a product candidate is safe and effective for its proposed indication;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results of clinical trials may not meet the level of statistical significance required by the FDA or comparable foreign regulatory authorities for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be unable to demonstrate that a product candidate’s benefits outweigh its risks;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data collected from clinical trials of our product candidates may not be sufficient to support the submission of an NDA to the FDA or other submission to obtain regulatory approval in the European Union or elsewhere;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our product candidates, which would significantly harm our business, financial condition, results of operations and prospects. The FDA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Even if we complete clinical testing and receive approval of an NDA or foreign marketing application for our current or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the FDA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the FDA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obtain. Further, macroeconomic and other global conditions have impacted and could in the future impact the ability of the FDA and comparable foreign regulatory authorities to provide any required approvals or marketing authorizations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product candidates or result in the delay of such approvals or authorizations. Changes to the requirements and policies of the FDA, the SEC and other regulatory agencies with jurisdiction over our product candidates and our business could present new challenges or potential opportunities as we navigate the clinical development and approval process for our product candidates.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to have preapproval inspections completed in a timely fashion, and to obtain the requisite regulatory approvals in the future.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There remains general uncertainty regarding future potential policy changes at the FDA and other regulatory agencies, which could adversely affect us or create a more challenging or costly environment to pursue the development of new therapeutic products. Additionally, state governments may attempt to address or react to changes at the federal level with changes to their own regulatory frameworks in a manner that is adverse to our operations. If we become negatively impacted by changes in regulatory policy, there could be a material adverse effect on us and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Preclinical and clinical product development involves a lengthy and expensive process, with an uncertain outcome.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approval to market a new drug product, we must demonstrate the safety and efficacy of the drug in humans in a manner that satisfies the agency’s standards. It is impossible to predict when or if any of our product candidates will prove effective or safe in humans or will receive regulatory approval. Before obtaining marketing approval from regulatory authorities, including the FDA,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incur additional costs and experience delays in completing, or ultimately be unable to complete, the development and commercialization of our product candidates.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We may incur additional costs and experience delays in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regulators or institutional review boards not authorizing us or our investigators to commence a clinical trial or conduct a clinical trial at a prospective trial site;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clinical trials of our product candidates producing negative or inconclusive results, including failure to demonstrate statistical significance, and we may decide, or regulators may require us, to conduct additional clinical trials or abandon product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product candidates having undesirable side effects (including drug-drug interactions), unexpected toxicology findings, or other unexpected characteristics, causing us or our investigators, regulators or institutional review boards to suspend or terminate the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third-party contractors failing to comply with regulatory requirements or meet their contractual obligations to us in a timely manner, or at all;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future collaborators, if any, conducting clinical trials in ways they view as advantageous to them but that are suboptimal to us;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 of clinical trials of our product candidates being greater than we anticipate;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supply or quality of our product candidates or other materials necessary, including comparator drug, to conduct clinical trials of our product candidates being insufficient, inadequate or too costly;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budget reductions, hiring freezes, or similar actions at clinical trial sites and other institutions negatively impacting the ability of sites to conduct clinical trials or increasing the costs to us of conducting our trials.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be delayed in obtaining marketing approval for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not obtain marketing approval at all;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obtain approval for indications or patient populations that are not as broad as intended or desired;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obtain approval with labeling that includes significant use or distribution restrictions or safety warnings;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be subject to additional post-marketing testing requirements; or</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have the product removed from the market after obtaining marketing approval.</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pharmacokinetic profile, and efficacy in clinical development despite positive results in preclinical studies or having successfully advanced through initial clinical trials, particularly because our NBD1 stabilizer product candidates target the NBD1 domain of the cystic fibrosis transmembrane conductance regulator (“CFTR”) protein, a novel target which has not previously been tested in CF patients.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Similarly, from time to time, we may publish interim, topline or preliminary results from our preclinical studies and clinical trials, which are based on a preliminary analysis of then-available data. We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w:t>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For example, central to our pipeline prioritization strategy is our application of an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 xml:space="preserve">electrophysiology assay to measure CFTR function in a CF model, known as the cystic fibrosis human bronchial epithelial (“CFHBE”) model, which uses lung cells from CF patients and has been shown to be predictive of clinical outcomes for approved CFTR modulators. In preclinical studies using our CFHBE model, the combination of either SION-719 or SION-451 with one of our complementary modulators or the components of Trikafta showed significant improvement in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CFTR activity and the potential for restoration of CFTR function to wild-type levels. However, we have not yet replicated such results in clinical trials, and our product candidates may fail to show the desired safety and efficacy at the dose ranges we have identified using our CFHBE model. Positive results in our preclinical studies using our CFHBE model may not be predictive of the results in clinical trials and may fail to be replicated in clinical trials.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Targeting the NBD1 domain of the CFTR protein is novel, and the time, cost of development, and likelihood of successful product development is difficult to predict.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NBD1 stabilizer product candidates target the NBD1 domain of the CFTR protein, which is a novel target. Other companies have discontinued programs targeting NBD1 as they were unable to develop compounds that could successfully bind to NBD1. Given the novelty of our product candidates and the inherent risk in our plans to develop a combination or add-on therapy, we may not be able to successfully develop any products.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While products modulating the CFTR protein have been approved by the FDA and comparable foreign regulatory authorities, to date, no product that directly targets the NBD1 domain has been approved, and to our knowledge, no product candidate directly targeting the NBD1 domain is currently in development. As a result, it is difficult to predict the developmental challenges we may encounter as our NBD1 stabilizers proceed through clinical trials, including our ongoing clinical trials evaluating SION-451 in combination with each of SION-2222 and SION-109, and evaluating SION-719 as an add-on to the standard of care. It is also difficult for us to predict the time and cost of development of an NBD1 stabilizer-anchored combination therapy, whether any of our clinical trials will be successful, and whether our novel approach will result in the successful development and regulatory approval of any product candidates. Any development problems we experience in the future related to our NBD1 stabilizer product candidates or any of our complementary modulator candidates may cause significant delays or unanticipated costs, and such development problems may not be able to be solved. The novelty of our product candidates and our combination therapy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Additionally, if one or more of our product candidates receives marketing approval, and we or others subsequently identify undesirable side effects caused by such products, a number of potentially significant negative consequences could result,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regulatory authorities may withdraw, suspend or limit approvals of such product or seek an injunction against its manufacture or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be required to recall a product;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regulatory authorities may require additional warnings on the labels, such as a boxed warning or a contraindication;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be required to create a medication guide outlining the risks of such side effects for distribution to patients;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be required to change the way a product is distributed or administered, conduct additional clinical trials or change the labeling of a product or be required to conduct additional post-marketing studies or surveillance;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could be sued and held liable for harm caused to patients;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sales of the product may decrease significantly or the product could become less competitive;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not be able to achieve or maintain third-party payor coverage and adequate reimbursement;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our reputation and physician or patient acceptance of our products may suffer.</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There can be no assurance that we will resolve any issues related to any product-related AEs to the satisfaction of the FDA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not be able to obtain orphan drug designation or exclusivity for our product candidates, and even if we do, we may be unable to maintain the benefits associated with orphan drug designation, including the potential for market exclusivity.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designation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 or that the data we have provided are not adequate to justify the scientific plausibility of our product candidate.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use or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even after an orphan drug is approved, the FDA can subsequently approve a different product candidate for the same use or indication without any requirement to demonstrate potential for clinical superiority (efficacy, safety, or other major contribution to patient care) relative to a product that already has orphan designation or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 similar regulatory scheme governs approval of orphan product candidates by the European Medicines Agency (“EMA”) in the European Union. The orphan product marketing exclusivity period in the European Union is ten years, which can be reduced to six years if at the end of the fifth year it is determined that a product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longer meets the criteria for orphan drug designation, including if the product is sufficiently profitable so that market exclusivity is no longer justified. The EMA may conclude that our product candidate(s) may not meet the criteria to justify orphan designation.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While we may in the future seek designations for our product candidates with the FDA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ten months to six months from FDA’s acceptance of the application for review. Priority review designation may be rescinded if a product no longer meets the qualifying criteria.</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not be able to submit investigational new drug applications ("INDs") or IND amendments to commence clinical trials on the timelines we expect, and even if we are able to, the FDA may not permit us to proceed.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may not be able to submit INDs for our product candidates on the timelines we expect. For example, we may experience manufacturing delays or other delays with IND-enabling studies. Moreover, we cannot be sure that submission of an IND will result in the FDA allowing related clinical trials to begin, or that, even if such trials do begin, issues will not arise that suspend or terminate such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is approved.</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As part of its decision to approve or grant marketing authorization for one or more of our product candidates, the FDA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restrictions on the marketing or manufacturing of such products, withdrawal of the product from the market or voluntary or mandatory product recalls;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restrictions on or revisions to the labeling or marketing of a medicine;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restrictions on the distribution or use of a medicine, including under a risk evaluation and mitigation strategy (“REMS”) program;</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fines, receipt of warning or untitled letters or suspension of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refusal by the FDA to approve pending applications or supplements to approved applications filed by us or suspension or withdrawal of marketing approvals;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product seizure or detention or refusal to permit the import or export of our product candidates;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injunctions or the imposition of civil or criminal penalties.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Additionally, the FDA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state consumer protection laws and laws of other comparable foreign regulatory agencies.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Any government investigation of alleged violations of law could require us to expend significant time and resources in response and could generate negative publicity. The occurrence of any event or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described above may inhibit our ability to commercialize any product candidates we develop and adversely affect our business, financial condition,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comparable foreign regulatory authorities, or if a large number of patients withdraw. We cannot predict how successful we will be at enrolling subjects in our clinical trials. We may conduct clinical trials that would require patients to discontinue standard of care therapy, and we may experience challenges finding, enrolling and retaining CF patients who are willing to discontinue their current treatment regimens to participate in such trials. For example, AbbVie previously terminated part of a Phase 2 trial that was intended to evaluate multiple doses of SION-3067 in combination with a fixed dose of SION-2222 because this part was deemed not enrollable due to, among other reasons, the increasing availability of the standard of care for CF. Subject enrollment is affected by other factors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patient eligibility criteria as defined in the applicable protocol;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size of the patient population required for analysis of the trial’s primary endpoints and the process for identifying patients;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actual and perceived risks and benefits of the product candidate in the trial;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design of the trial;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competing third-party clinical trials, including trials conducted by Vertex Pharmaceuticals, Inc. ("Vertex"), enrolling currently or in the future, and clinicians’ and patients’ perceptions as to the potential advantages and risks of the third-party product candidate being studied in relation to other available therapies, including the standard of care, other therapies currently approved, or that may be approved in the future, for CF, or other investigational drugs in clinical development for CF;</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willingness of patients to be enrolled in our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success of efforts to facilitate timely enrollment in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patient referral practices of physicians;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ability to monitor patients adequately during and after treatment;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obtain and maintain informed consent;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risk that patients enrolled in our clinical trials will drop out of the trials prior to completion;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 to, or lack of adequate compensation for, prospective patients;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proximity and availability of clinical trial sites to prospective patients.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Furthermore, we expect to rely on CROs and clinical trial sites to ensure the proper and timely conduct of our clinical trials and we will have limited influence over their performance.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comparable foreign regulatory authorities to increase our enrollment, which would result in the delay of completion of such trials beyond our expected timelines.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results of clinical trials conducted at clinical trial sites outside the U.S. might not be accepted by the FDA, and data developed outside of a foreign jurisdiction similarly might not be accepted by such foreign regulatory authority.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conducted and are currently conducting certain of our clinical trials in Australia, and we plan to conduct additional clinical trials outside of the U.S. in the future. Clinical trials conducted in Australia using “unapproved therapeutic goods,” or those that have not yet been evaluated by the Therapeutic Goods Association (“TGA”) for quality, safety and efficacy, must occur pursuant to either the Clinical Trial Notification Scheme or the Clinical Trial Approval Scheme. In each case, the trial is supervised by a Human Research Ethics Committee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or comparable foreign regulatory authorities may accept data from clinical trials conducted outside the relevant jurisdiction, acceptance of these data is subject to certain conditions. For example, the FDA requires that the clinical 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Additionally, recent policy proposals in the U.S., if enacted in the future, may make acceptance by the FDA or inclusion of foreign data in a U.S. marketing application more difficult or costly. Similarly, any data submitted to foreign regulatory authorities may not adhere to their standards and requirements for clinical trials and data from trials conducted outside of such jurisdiction may not be accepted.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Conducting clinical trials outside the U.S. also exposes us to additional risks, including risks associated with:</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additional foreign regulatory requirements, including with respect to data privacy and security, which may impose heightened data processing requirements and transfer restrictions;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foreign exchange fluctuations;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compliance with foreign manufacturing, customs, shipment and storage requirements;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inconsistent standards for reporting and evaluating clinical data and AEs;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varying standards or availability of CF care, resulting in data that may differ from patients who have received the U.S. standard of care therapy;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any pandemic, epidemic or public health emergencies;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diminished protection of intellectual property in some countries; and</w:t>
      </w:r>
    </w:p>
    <w:p>
      <w:pPr>
        <w:pStyle w:val="TextBody"/>
        <w:bidi w:val="0"/>
        <w:spacing w:lineRule="auto" w:line="288" w:before="0" w:after="360"/>
        <w:ind w:left="0" w:right="0" w:hanging="180"/>
        <w:jc w:val="left"/>
        <w:rPr/>
      </w:pPr>
      <w:r>
        <w:rPr>
          <w:color w:val="000000"/>
        </w:rPr>
        <w:t>•</w:t>
      </w:r>
      <w:r>
        <w:rPr>
          <w:rFonts w:ascii="Arial;sans-serif" w:hAnsi="Arial;sans-serif"/>
          <w:b w:val="false"/>
          <w:color w:val="000000"/>
          <w:sz w:val="20"/>
        </w:rPr>
        <w:t>political instability, civil unrest, war or similar events that may jeopardize our ability to commence, conduct or complete a clinical trial and evaluate resulting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order to produce sufficient quantities to meet the demand for clinical trials and, if approved, subsequent commercialization of our product candidates, our third-party manufacturers will be required to produce adequate quantities of our product candidates and meet required timelines. Further, as we seek to scale-up our manufacturing processes,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methods of product candidate manufacturing or formulation may result in additional costs or delay.</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manufacture of our product candidates is complex and requires significant expertise. As product candidates proceed through preclinical studies to late-stage clinical trials towards potential approval and commercialization, various aspects of the development program, such as manufacturing methods and formulation, may be altered in an effort to reduce costs or optimize processes and product characteristics, and such outcomes may not be achieved. Any of these changes could cause our product candidates to perform differently and affect the results of our current or future clinical trials. Such changes may also require additional testing, or notification to or approval by the FDA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Certain of our programs may compete with our other programs, which could negatively impact our business and reduce our future revenue.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are developing all of our product candidates for the same indication, CF, and we may develop additional product candidates for the same indication in the future. We have several programs targeting different regions of the CFTR protein, in order to support our goal of creating a differentiated combination treatment that delivers clinically meaningful benefit to CF patients.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Due to the significant resources required for the development of our pipeline, and depending on our ability to access capital, we must prioritize the development of certain product candidates over others. 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Because we have limited financial and management resources, we are focused on a single indication, CF, and we focus our research and development efforts on certain selected development programs and product candidates. We are currently primarily focused on the development of SION-719 and SION-451, our NBD1 stabilizers, and our portfolio of complementary modulators. As a result, we may forego or delay pursuit of opportunities with other product candidates that later prove to have greater commercial potential. For instance, the development of a proprietary dual combination is our priority.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viability, commercial potential or target market for any of our current or future product candidates, our business, financial condition and results of operations could be materially and adversely affected. As a result, we may fail to capitalize on viable commercial products or profitable market opportunities, be required to forego or delay pursuit of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with other product candidates or other diseases and disease pathways that may later prove to have greater commercial potential than those we choose to pursue, or relinquish valuable rights to a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from third parties or, in certain cases, we fail to meet certain development deadlines, we could lose license rights that are important to our business.</w:t>
      </w:r>
    </w:p>
    <w:p>
      <w:pPr>
        <w:pStyle w:val="TextBody"/>
        <w:bidi w:val="0"/>
        <w:spacing w:lineRule="auto" w:line="288" w:before="0" w:after="240"/>
        <w:ind w:left="0" w:right="0" w:firstLine="720"/>
        <w:jc w:val="left"/>
        <w:rPr/>
      </w:pPr>
      <w:r>
        <w:rPr>
          <w:rFonts w:ascii="Arial;sans-serif" w:hAnsi="Arial;sans-serif"/>
          <w:b w:val="false"/>
          <w:color w:val="000000"/>
          <w:sz w:val="20"/>
        </w:rPr>
        <w:t>We are a party to a number of license agreements under which we are granted rights to intellectual property that are important to our business and we expect that we may need to enter into additional license agreements in the future. In particular, we have entered into license agreements with Sanofi and AbbVie, pursuant to which, among other things, we have secured exclusive licenses for certain intellectual property and know-how relating to CFTR modulator therapies to commercialize certain compounds, patents and proprietary information and inventions. Our existing license agreements impose, and we expect that future license agreements will impose on us, various development, regulatory and/or commercial diligence obligations, payment of milestones and/or royalties and other obligations. If we fail to comply with our obligations under these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In particular, we are substantially dependent on the success of one of our NBD1 stabilizer product candidates, and to the extent we are unable to develop other product candidates at the time of such termination, it would have a material adverse effect on our business, financial condition, results of operations and prospects, including, but not limited to, cessation of our operations. See the section titled “</w:t>
      </w:r>
      <w:r>
        <w:rPr>
          <w:rFonts w:ascii="Arial;sans-serif" w:hAnsi="Arial;sans-serif"/>
          <w:b w:val="false"/>
          <w:i/>
          <w:color w:val="000000"/>
          <w:sz w:val="20"/>
        </w:rPr>
        <w:t>Business—License and Collaboration Agreements</w:t>
      </w:r>
      <w:r>
        <w:rPr>
          <w:color w:val="000000"/>
        </w:rPr>
        <w:t xml:space="preserve">” </w:t>
      </w:r>
      <w:r>
        <w:rPr>
          <w:rFonts w:ascii="Arial;sans-serif" w:hAnsi="Arial;sans-serif"/>
          <w:b w:val="false"/>
          <w:color w:val="000000"/>
          <w:sz w:val="20"/>
        </w:rPr>
        <w:t>in our Annual Report on Form 10-K for the year ended December 31, 2025 (the "Annual Report") for a description of our license agreements.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scope of rights granted under the license agreement and other interpretation-related issues;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whether and the extent to which our product candidates and processes infringe on intellectual property of the licensor that is not subject to the licensing agreement;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right to sublicense patent and other rights to third parties under collaborative development relationships;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diligence obligations with respect to the use of the licensed intellectual property in relation to our development and commercialization of our product candidates, and what activities satisfy those diligence obligations;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ownership of inventions and know-how resulting from the joint creation or use of intellectual property by our licensors and us and our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currently engage CROs and other vendors to conduct our clinical trials, and similarly expect to engage CROs and other vendors for future clinical trials for our current and any future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 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obtain such quantities at an acceptable cost or quality, which could delay, prevent or impair our development or commercialization efforts.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do not have any cGMP manufacturing facilities and have no plans to develop our own clinical or commercial-scale manufacturing capabilities. We currently rely, and expect to continue to rely, on contract development and manufacturing organizations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obtain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reliance on CDMOs for manufacturing activities reduces our control over these activities, but does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 regulatory approval of our potential future marketing applications. Although we conduct routine qualification audits and have quality agreements in place with our CDMOs, we have no direct operational control over their 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use of foreign CROs and CDMOs in some jurisdictions may be or may become subject to U.S. legislation, sanctions, tariffs, trade restrictions and/or other regulatory requirements, which may increase the cost of and cause delays in the procurement or supply of materials for, or manufacture of, our product candidates or have an adverse effect on our ability to secure significant commitments from governments to purchase our potential therapies. For example, legislation recently signed into law, known as the BIOSECURE Act, implements a prohibition on U.S. government contracts, grants, and loans from being used towards biotechnology equipment and services produced or provided by "biotechnology companies of concern." By December 18, 2026, the Director of the Office of Management and Budget ("OMB"), will publish a full list of biotechnology companies of concern based on recommendations from key federal Secretaries and Directors, including Defense, Justice, HHS, Commerce, National Intelligence, Homeland Security, State, and National Cyber. The Director of OMB will thereafter review and update that list at least annually, based on recommendations from those key federal Secretaries and Directors. We have an agreement with a Chinese biotechnology company, pursuant to which it may manufacture certain of our clinical trial materials from time to time. On June 8, 2026, the Department of Defense added this Chinese company to the Section 1260H list, which may result in the company being designated a biotechnology company of concern under the BIOSECURE Act once OMB publishes its list. The company has disputed its inclusion on the 1260H list and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stated it intends to pursue available remedies to contest the designation. The outcome of any such challenge is uncertain. The BIOSECURE Act has the potential to severely restrict the ability of companies, including us, to work with certain Chinese biotechnology companies of concern without losing the ability to contract with, or otherwise receive funding from, the U.S. government. If the company with which we have an agreement is ultimately designated as a biotechnology company of concern, we may need to transition to alternative suppliers, which could be costly, time-consuming and disruptive to our clinical development programs. Additionally, our use of foreign CROs and CDMOs, including those located in China, may be subject to unanticipated changes in the geopolitical landscape that could have negative impacts on our business operations.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necessary materials in sufficient quantity and in a timely manner, the development of our product candidates may be delayed, which could significantly harm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Further, 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Collaborations involving our product candidates would pose the following risks to us: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have significant discretion in determining the efforts and resources that they will apply to these 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may not perform their obligations as expected, or at all;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 collaborator with marketing and distribution rights to one or more of our product candidates that achieve regulatory approval may not commit sufficient resources to the marketing and distribution of such products;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collaborators may infringe the intellectual property rights of third parties, which may expose us to litigation and potential liability;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collaborations may be terminated, including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before="0" w:after="360"/>
        <w:ind w:left="0" w:right="0" w:firstLine="72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rely upon a combination of patents, access to certain third-party trade secrets and confidentiality agreements to protect the intellectual property related to our product candidates. These legal measures afford only limited protection, and competitors or others may gain access to or use our intellectual property and proprietary information. Our success depends in large part on our ability to obtain and maintain patent and other intellectual property protection in the U.S. and in other countries with respect to our proprietary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cannot predict whether the patent applications we currently or may in the future pursue will issue as patents in any particular jurisdiction or will provide sufficient protection against competitors or other third parties. Currently, much of our patent portfolio, including the applications related to our NBD1 product candidates, are in various stages of the patent prosecution process. Nor can we predict the outcome of any challenge by our competitors to the validity or enforceability of any such patents. We cannot offer any assurances that the breadth of our granted patents will be sufficient to stop a competitor from developing and commercializing a product, including a generic product that would be competitive with one or more of our product candidates. Furthermore, any successful challenge to these patents or any other patents owned by or licensed to us after patent issuance could deprive us of the competitive advantage necessary for the successful commercialization of any of our product candidates. Further, if we encounter delays in regulatory approval, the period of time during which we could market a product candidate under patent protection could be reduced (unless we obtain a patent term extension corresponding to such delays).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ability to obtain and maintain valid and enforceable patents depends on our inventions being patentable in light of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 Furthermore, even if a patent is granted, our competitors or other third parties may be able to circumvent the patent by developing similar or alternative products in a non-infringing manner which could materially adversely affect our business, financial condition, results of operations and prospects.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existing and future in-licenses to which we may become a party, we may not have the right to control the preparation, filing and prosecution of patent applications, or to maintain the patents, covering intellectual property in-licensed from third parties. Therefore, these patents and patent applications may not be prosecuted and enforced in a manner consistent with the best interests of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being issued which protect our product candidates or which effectively prevent others from commercializing competitive products.</w:t>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The issuance of a patent is not conclusive as to its inventorship, scope, validity or enforceability, and our owned and licensed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Arial;sans-serif" w:hAnsi="Arial;sans-serif"/>
          <w:b w:val="false"/>
          <w:i/>
          <w:color w:val="000000"/>
          <w:sz w:val="20"/>
        </w:rPr>
        <w:t xml:space="preserve">inter partes </w:t>
      </w:r>
      <w:r>
        <w:rPr>
          <w:rFonts w:ascii="Arial;sans-serif" w:hAnsi="Arial;sans-serif"/>
          <w:b w:val="false"/>
          <w:color w:val="000000"/>
          <w:sz w:val="20"/>
        </w:rPr>
        <w:t>review, or interference proceeding and other similar proceedings challenging our patent rights or the patent rights of others in the U.S. Patent and Trademark Office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to the protection provided by our patent portfolio, we rely on access to certain third-party trade secret protection as well as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intellectual property to enter into confidentiality agreements, certain employees may not have signed such agreements and we cannot provide any assurances that all such agreements have been duly executed, or that such trade secrets and other confidential proprietary information will not be disclosed. Moreover, our competitors may independently develop knowledge, methods and know-how equivalent to the above-mentioned trade secrets. Competitors could purchase our products, if approved, and replicate some or all of the competitive advantages we derive from our development efforts for intellectual property on which we do not have patent protection. If any trade secrets were to be lawfully obtained or independently developed by a competitor, we would have no right to prevent them, or those to whom they communicate it, from using that intellectual property or information to compete with us. If any trade secrets were to be disclosed to or independently developed by a competitor, our competitive position would be harmed.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also seek to preserve the integrity and confidentiality of our proprietary data and third-party trade secrets by maintaining physical security of our premises and physical and electronic security of our information technology systems. However, our agreements and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the trade secrets and our proprietary information. Further, the FDA may change its disclosure policies from time to time and make additional information publicly available on a routine basis. If we are unable to prevent material disclosure of the non-patented intellectual property related to our product candidates to third parties, we may not be able to establish or maintain a competitive advantage in our market, which could materially adversely affect our business, results of operations and financial condition.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Patent terms may be inadequate to protect our competitive position on our products, if approved, for an adequate amount of time, and if we do not obtain protection under the Hatch-Waxman Amendments and similar non-U.S. legislation for extending the term of patents covering each of our product candidates, our business may be materially harmed.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are limited. Even if additional patents covering our current or future product candidates are obtained, once the patent life has expired for a product, if approved,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approved and commercialized. Because of these term limits, our owned and licensed patent portfolio may not provide us with sufficient rights to exclude others from commercializing products similar or identical to ours, if approved. If we do not have sufficient patent life to protect our product candidates,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Depending upon the timing, duration and conditions of FDA marketing approval of our product candidates, one or more of any U.S. patents that may issue covering our product candidates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that is a new chemical entity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and we cannot be certain what the length of the extension would be or if we will receive an extension at all.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any applicable products could be reduced and could have a material adverse effect on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fail to comply with our obligations in any current intellectual property licenses with third parties, or fail to obtain such licenses in the future, we could lose rights that are material to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licensed third-party intellectual property that is material to our business, and may enter into additional license agreements in the future. We do not and will not own the patents or patent applications that underlie these licenses, and we may not control either the prosecution or the enforcement of the patents. Under such circumstances, we may be forced to rely upon our licensors to properly prosecute and file those patent applications and prevent infringement of those patents. Therefore, we cannot be certain that the prosecution, maintenance and enforcement of these patent rights will be in a manner consistent with the best interests of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we or our licensors fail to maintain such patents, or if we or our licensors lose rights to those patents or patent applications, the rights we have licensed may be reduced or eliminated and our right to develop and commercialize any of our product candidates that are the subject of such licensed rights could be adversely affected.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rights to use the intellectual property and practice the inventions claimed in the licensed patents and patent applications are subject to our licensors abiding by the terms of those licenses and not terminating them. In addition, existing license agreements do, and future agreements may, impose diligence, development and commercialization timelines and milestone payment, royalty, insurance and other obligations, including rights of first negotiation (“ROFN”) for development of certain programs. For example, under our license agreement with AbbVie, AbbVie has a ROFN pursuant to which it would have an exclusive period to negotiate in good faith the terms of a commercial license transaction if we decide to pursue a license or sublicense to commercialize a licensed product under the AbbVie agreement prior to initiating Phase 3 clinical trials. This ROFN may delay or undermine our ability to enter into an otherwise beneficial transaction. If we fail to comply with our obligations, our licensors may have the right to terminate the licenses, in which event we might not be able to develop, manufacture or market any product that is covered by the intellectual property we in-license from such licensor and may face other penalties. If any of our licenses are terminated, we may lose our patent rights on a territory-by-territory basis, and such rights may be lost worldwide. Termination of any license agreement could reduce or eliminate our rights under these agreements and may result in our having to negotiate new or reinstated agreements with less favorable terms or cause us to lose our rights under these agreements, including our rights to important intellectual property. Any of the foregoing outcomes could prevent us from commercializing relevant product candidates, which could have a material adverse effect on our operating results and overall financial condition.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disputes regarding obligations in licenses may require us to take expensive and time-consuming legal action to resolve, and, even if we are successful, may delay our ability to commercialize products and generate revenue. Further, if we are unable to resolve license issues that arise, we may lose rights to practice intellectual property that is required to make, use or sell products. We may require additional licenses in the future. Licenses to additional third-party intellectual property and materials that may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our development programs may not be available on commercially reasonable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disputes may also arise between us and our licensors regarding intellectual property subject to a license agreement, including disputes concerning scope of rights granted under the license agreement and other interpretation-related issues; whether and the extent to which our product candidates and processes infringe on intellectual property of the licensor that is not subject to the licensing agreement; and ownership of inventions and know-how resulting from the joint creation or use of intellectual property by our licensors and us and our partners. If disputes over intellectual property that we have licensed prevent or impair our ability to maintain our current licensing arrangements on acceptable terms, we may be unable to successfully develop and commercialize the affected product candidates. If we are unable to successfully obtain rights to required third-party intellectual property rights, we may have to abandon development of the relevant program or product candidate or expend time and resources re-designing the program or product candidate, which could have a material adverse effect on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Intellectual property rights that we in-license in the future may also be granted through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Patent reform legislation could increase the uncertainties and costs surrounding the prosecution of our patent applications and the enforcement or defense of any future patents we obtain.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Patent reform legislation in the U.S. and other countries, including the Leahy-Smith America Invents Act (the “Leahy-Smith Act”) signed into law on September 16, 2011, and its implementation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Act has transformed the U.S. into a “first-to-file” system for deciding which party should be granted a patent when two or more patent applications are filed by different parties claiming the same invention. The first-to-file provisions, however, only became effective on March 16, 2013. Accordingly, it is not yet clear what, if any, impact the Leahy-Smith Act will have on the operation of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Further,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be involved in lawsuits to protect or enforce our intellectual property rights, which could be expensive, time consuming and unsuccessful.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Competitors may infringe any intellectual property we may own or in-license, including our patents and trademarks. In addition, any intellectual property we may own or in-license may become the subject of a dispute, including those based on inventorship, priority, validity or unenforceability.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w:t>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In an infringement proceeding, a court may decide that the patent claims we are asserting are invalid and/or unenforceable, or may refuse to stop the other party from using the intellectual property at issue on the grounds that our patent claims do not cover the intellectual property in question. Third parties may also raise similar claims before administrative bodies in the U.S. or abroad, even outside the context of litigation. Such mechanisms include re-examination, post grant review,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and equivalent proceedings in foreign jurisdictions (for example, opposition proceedings). Such proceedings could result in revocation of or amendment to our patents in such a way that they no longer cover our product candidates. The outcome following legal assertions of infringement, invalidity and unenforceability is unpredictable. With respect to the validity question, for example, we cannot be certain that there is no invalidating prior art.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defense of litigation or interference proceedings may fail and require us to cease using certain intellectual property or force us to take a license under the intellectual property rights of the prevailing party, if available. Even if successful, litigation or interference proceedings may result in substantial costs and distract our management and other employees. We may not be able to prevent misappropriation of our intellectual property rights, particularly in countries where the laws may not protect those rights as fully as in the U.S.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before="0" w:after="360"/>
        <w:ind w:left="0" w:right="0" w:firstLine="72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Third parties may initiate legal proceedings alleging that we are infringing their intellectual property rights, the outcome of which would be uncertain.</w:t>
      </w:r>
    </w:p>
    <w:p>
      <w:pPr>
        <w:pStyle w:val="TextBody"/>
        <w:bidi w:val="0"/>
        <w:spacing w:lineRule="auto" w:line="288" w:before="0" w:after="240"/>
        <w:ind w:left="0" w:right="0" w:firstLine="720"/>
        <w:jc w:val="left"/>
        <w:rPr/>
      </w:pPr>
      <w:r>
        <w:rPr>
          <w:rFonts w:ascii="Arial;sans-serif" w:hAnsi="Arial;sans-serif"/>
          <w:b w:val="false"/>
          <w:color w:val="000000"/>
          <w:sz w:val="20"/>
        </w:rPr>
        <w:t xml:space="preserve">While no third parties to our knowledge have initiated legal proceedings against us to date, 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infringement, interference or derivation proceedings, post-grant review and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before the USPTO or similar adversarial proceedings or litigation in other jurisdictions. We are currently in settlement discussions with a third party regarding a trademark opposition in Peru, which we do not consider to be material. Even if we believe such claims are without merit, a court of competent jurisdiction could hold that these third-party patents are valid, enforceable and infringed, which could have a negative impact on our ability to commercialize our product candidates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Similarly, the burdens on us to invalidate patent claims in foreign jurisdiction may vary substantially and courts in those jurisdictions may not agree with us that the claims are invalid. The outcome of proceedings involving assertions of infringement, invalidity and unenforceability during patent litigation is unpredictable. Furthermore, if a patent holder believes that one of our product candidates infringes its patent, the patent holder may sue us even if we have received patent protection for our intellectual property. Moreover, we may face patent infringement claims from non-practicing entities that have no relevant revenue and against whom our own patent portfolio may thus have no deterrent effect. If a patent infringement suit were threatened or brought against us, we could be forced to stop or delay manufacturing or sales of the drug or product candidate that is the subject of the actual or threatened suit. Moreover, given the vast number of patents in our field of intellectual property, we cannot be certain that our current and future product candidates do not or will not infringe existing patents or that we will not infringe patents that may be granted in the future.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we are found to infringe a third party’s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intellectual property rights licensed to us. If we fail to obtain a required license, we may be unable to effectively market product candidates based on our intellectual property, which could limit our ability to generate revenue or achieve profitability and possibly prevent us from generating revenue sufficient to sustain our operations. Alternatively, we may need to redesign our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that prevents us from commercializing our product candidates, requires us to redesign our products, or forces us to cease some of our business operations could materially harm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before="0" w:after="360"/>
        <w:ind w:left="0" w:right="0" w:firstLine="72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be subject to claims that our employees, consultants or independent contractors have wrongfully used or disclosed confidential information or trade secrets of third parties.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be subject to claims challenging the inventorship or ownership of our intellectual property, including any patents we obtain.</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or our licensors may be subject to claims that former employees, collaborators or other third parties have an ownership interest in our patent applications, any patents we obtain,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If we no longer own intellectual property rights that are required to commercialize and protect our products, we may need to obtain a license to those rights, which may not be available on commercially reasonable terms, or at all. Such an outcome could have a material adverse effect on our business.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Reliance on third parties requires us to share trade secrets, which increases the possibility that trade secrets will be misappropriated or disclosed, and confidentiality agreements with employees and third parties may not adequately prevent disclosure of trade secrets and protect other proprietary information.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rely on certain third-party trade secrets, technical know-how, proprietary information and other confidential information to protect our product candidates and as otherwise useful to our business. Monitoring unauthorized uses and disclosures of trade secrets and other confidential information is difficult, and we do not know whether the steps we have taken to protect our confidential intellectual property will be effective. We seek to protect our confidential information, in part, through confidentiality and non-disclosure agreements with our employees, consultants, collaborators, suppliers and other parties. These agreements typically restrict the ability of our employees, consultants, advisors and third-party contractors to use or disclose our proprietary information or publish data potentially relating to our proprietary information. Despite our efforts to protect trade secrets, we may not be able to prevent the unauthorized disclosure or use of our technical know-how or other proprietary information by the parties to these agreements. There can be no assurance that these agreements will not be breached, including by disclosure of our confidential information. If any of the collaborators, scientific advisors, employees, contractors and consultants who are parties to these agreements breaches or violates the terms of any of these agreements, we may not have adequate remedies for any such breach or violation, and trade secret status could be lost as a result. We also cannot guarantee that we have entered into such agreements with each party that may have or have had access to our confidential information or proprietary product candidates and processes. Moreover, if confidential information that is licensed or disclosed to us by our partners, collaborators or others is inadvertently disclosed or subject to a breach or violation,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liable to the owner of that confidential information. Monitoring unauthorized uses and disclosures is difficult, and we do not know whether the steps we have taken to protect our proprietary product candidates and processes will be effective.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To the extent that we rely on third parties to manufacture or commercialize our product candidates, or if we collaborate with additional third parties for the development of our product candidates, we must, at times, share proprietary information with them. We may also conduct joint research and development programs that may require us to share potential trade secrets under the terms of our research and development partnerships or similar agreements. Despite the contractual provisions employed when working with third parties, the need to share confidential information increases the risk that such potential trade secrets become known by our competitors, are inadvertently incorporated into the product candidates of others, or are disclosed or used in violation of these agreements. Given that our proprietary position is based, in part, on our know-how and other confidential information, a competitor’s discovery of such information or other unauthorized use or disclosure thereof could have an adverse effect on our business and results of operations.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Enforcing a claim that a third party illegally obtained and is using trade secrets or proprietary information is expensive and time consuming, and the outcome is unpredictable. In addition, courts outside the U.S. are sometimes less willing to protect trade secrets and the enforceability of confidentiality or similar types of agreements may vary from jurisdiction to jurisdiction.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enjoy only limited geographical protection with respect to certain patents and we may not be able to protect our intellectual property rights throughout the world.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Filing and prosecuting patent applications and defending patents covering our product candidates in all countries throughout the world would be prohibitively expensive. Competitors may use our intellectual property in jurisdictions where we have not obtained patent protection to develop their own products and, further, may export otherwise infringing products to territories where we have patent protection, but enforcement rights are not as strong as that in the U.S. or Europe. These products may compete with our product candidates, and our and our licensors’ future patents or other intellectual property rights may not be effective or sufficient to prevent them from competing.</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U.S. Accordingly, depending on the country, the scope of patent protection may vary for the same product candidate.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Europe, a new unitary patent system took effect on June 1, 2023, which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such as Russia’s incursion into Ukraine, may also impact our ability to obtain and enforce patents in particular jurisdictions. If we are unable to obtain and enforce patents as needed in particular markets, our ability to exclude competitors in those markets may be reduced.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Periodic maintenance fees, renewal fees, annuity fees and various other government fees on patents and/or applications will be due to be paid to the USPTO and various government patent agencies outside of the U.S. over the lifetime of our patents and/or applications and any patent rights we may obtain or license in the future. Furthermore, the USPTO and various non-U.S.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expect to rely on trademarks as one means to distinguish our product candidates, if approved for marketing, from the drugs of our competitors. Once we select new trademarks and apply to register them, our trademark applications may not be approved. During trademark registration proceedings in the U.S. and foreign jurisdictions, we may receive rejections. We are given an opportunity to respond to those rejections, but we may not be able to overcome such rejections. In addition, in the USPTO and in comparable agencies in many foreign jurisdictions, third parties may oppose pending trademark registration applications or seek to cancel registered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trademarks.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any proprietary name we propose to use with any of our product candidate in the U.S.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our unregistered trademarks or trade names may be challenged, infringed, circumvented or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drugs,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Furthermore, in many countries, owning and maintaining a trademark registration may not provide an adequate defense against a subsequent infringement claim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Intellectual property rights do not necessarily address all potential threats to our competitive advantage.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others may be able to make products that are similar to or otherwise competitive with our product candidates but that are not covered by the claims of our current or future patents;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 in-license necessary for the manufacture, use, sale, offer for sale or importation of one or more of our product candidates may be terminated by the licensor;</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or future collaborators might not have been the first to conceive and reduce to practice the inventions covered by the patents or patent applications that we own, license or will own or license;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or future collaborators might not have been the first to file patent applications covering certain of our inventions;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others may independently develop similar or alternative product candidates or duplicate any of our product candidates without infringing our intellectual property rights;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it is possible that our pending patent applications will not lead to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issued patents that we own or in-license may be held invalid or unenforceable as a result of legal challenges by our competitors;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issued patents that we own or in-license may not provide coverage for all aspects of our product candidates in all countries;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ownership of our patents or patent applications may be challenged by third parties;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we may not develop additional proprietary intellectual property that is patentable;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the patents of third parties may have an adverse effect on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Should any of these events occur, they could significantly harm our business,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are unable to obtain licenses from third parties on commercially reasonable terms or fail to comply with our obligations under such agreements, our business could be harmed.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currently have rights to intellectual property, through licenses from third parties, to identify and develop certain product candidates, and we may add additional licenses in the future as we expand our product candidate pipeline. Although we have succeeded in licensing intellectual property from third-party licensors, including AbbVie, in the past, we cannot assure our stockholders that we will be able to in-license or acquire the rights to any potential product candidates from third parties on acceptable terms or at all.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an NDA is submitted. Given the uncertainty of clinical trials, we cannot be certain of the timing of their completion and it is possible that we may submit an NDA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Related to Legal and Regulatory Compliance Matters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pStyle w:val="TextBody"/>
        <w:bidi w:val="0"/>
        <w:spacing w:lineRule="auto" w:line="288" w:before="0" w:after="240"/>
        <w:ind w:left="0" w:right="0" w:firstLine="720"/>
        <w:jc w:val="left"/>
        <w:rPr/>
      </w:pPr>
      <w:r>
        <w:rPr>
          <w:rFonts w:ascii="Arial;sans-serif" w:hAnsi="Arial;sans-serif"/>
          <w:b w:val="false"/>
          <w:color w:val="000000"/>
          <w:sz w:val="20"/>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providers, third-party payors, patients and other parties in the healthcare industry, which may have a significant impact on our business, are regulated by fraud and abuse and other healthcare laws. For more information, see the section titled “</w:t>
      </w:r>
      <w:r>
        <w:rPr>
          <w:rFonts w:ascii="Arial;sans-serif" w:hAnsi="Arial;sans-serif"/>
          <w:b w:val="false"/>
          <w:i/>
          <w:color w:val="000000"/>
          <w:sz w:val="20"/>
        </w:rPr>
        <w:t>Business—Government Regulation—Other U.S. Healthcare Laws and Compliance Requirements</w:t>
      </w:r>
      <w:r>
        <w:rPr>
          <w:color w:val="000000"/>
        </w:rPr>
        <w:t xml:space="preserve">” </w:t>
      </w:r>
      <w:r>
        <w:rPr>
          <w:rFonts w:ascii="Arial;sans-serif" w:hAnsi="Arial;sans-serif"/>
          <w:b w:val="false"/>
          <w:color w:val="000000"/>
          <w:sz w:val="20"/>
        </w:rPr>
        <w:t>in the Annual Report.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Given the broad scope, limited guidance and evolving government interpretations, our business activities may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Even if we obtain regulatory approvals for our product candidates or any future product candidates, they will remain subject to ongoing regulatory oversight.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and other regulatory authorities for compliance with cGMP regulations and standards. Any regulatory approvals that we receive for our product candidates 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drug manufacturers are subject to payment of annual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applicable regulatory requirements following approval of any of our product candidates, a regulatory authority may: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issue an untitled letter or warning letter asserting that we are in violation of the law;</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seek an injunction or impose administrative, civil or criminal penalties or monetary fines, disgorgement of profits or revenue, warning letters or adverse publicity requirements;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suspend or withdraw regulatory approvals;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restrict product distribution or use, including full or partial holds on any ongoing or planned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refuse to approve a pending NDA or comparable foreign marketing application (or any supplements thereto) submitted by us or our strategic partners;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restrict the marketing or manufacturing of the drug;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seize or detain the drug or otherwise require the withdrawal of the drug from the market;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refuse to permit the import or export of product candidates; or</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refuse to allow us to enter into supply contracts, including government contracts.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Healthcare and other reform initiatives may have an adverse impact on our business and results of operations.</w:t>
      </w:r>
    </w:p>
    <w:p>
      <w:pPr>
        <w:pStyle w:val="TextBody"/>
        <w:bidi w:val="0"/>
        <w:spacing w:lineRule="auto" w:line="288" w:before="0" w:after="240"/>
        <w:ind w:left="0" w:right="0" w:firstLine="720"/>
        <w:jc w:val="left"/>
        <w:rPr/>
      </w:pPr>
      <w:r>
        <w:rPr>
          <w:rFonts w:ascii="Arial;sans-serif" w:hAnsi="Arial;sans-serif"/>
          <w:b w:val="false"/>
          <w:color w:val="000000"/>
          <w:sz w:val="20"/>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reform efforts will be successful, such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Arial;sans-serif" w:hAnsi="Arial;sans-serif"/>
          <w:b w:val="false"/>
          <w:i/>
          <w:color w:val="000000"/>
          <w:sz w:val="20"/>
        </w:rPr>
        <w:t>Business—Government Regulation—Healthcare Reform</w:t>
      </w:r>
      <w:r>
        <w:rPr>
          <w:color w:val="000000"/>
        </w:rPr>
        <w:t xml:space="preserve">” </w:t>
      </w:r>
      <w:r>
        <w:rPr>
          <w:rFonts w:ascii="Arial;sans-serif" w:hAnsi="Arial;sans-serif"/>
          <w:b w:val="false"/>
          <w:color w:val="000000"/>
          <w:sz w:val="20"/>
        </w:rPr>
        <w:t>in the Annual Report.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Among policy makers and third-party payors in the U.S. and elsewhere, there is significant and ongoing interest in implementing changes in the delivery and payment for healthcare services in order to contain healthcare costs, improve quality and/or expand access. In the U.S., the pharmaceutical industry has been a particular focus of these efforts and has been significantly affected by major legislative initiatives and changing policies and practices of the third-party payors. There has also been heightened governmental scrutiny in the U.S. of pharmaceutical pricing practices considering the rising cost of prescription drugs and biologics. Such scrutiny has resulted in several congressional inquiries and proposed and enacted legislation designed to, among other things, bring more transparency to product pricing, review the relationship between pricing and manufacturer patient support programs, or reform government program reimbursement methodologies for products.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U.S. has recently taken steps intended to reduce drug prices and establish and communicate most-favored-nation price targets to pharmaceutical manufacturers to bring prices for American patients in line with comparably developed nations, including recently proposed most-favored-nation Medicare reimbursement models issued by the Centers for Medicare and Medicaid Services. In addition, several large pharmaceutical companies have already started to voluntarily reduce their pricing on select drugs indexed to lower prices around the globe. At the state level, legislatures have increasingly passed legislation and implemented regulations with similar goals, as well as laws designed to control pharmaceutical and biotherapeutic product pricing, including restrictions on pricing or reimbursement at the state government level, limitations on discounts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patients, marketing cost disclosure and transparency measures, restrictions or other limitations on patient assistance, and, in some cases, policies to encourage importation from other countries (subject to federal approval) and bulk purchasing.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 Additionally, implementation by third-party payors of policies and practices to limit coverage, manage utilization, reduce payment of drug products could adversely affect our ability to sell our products profitably. All these efforts may prevent us from being able to generate revenue, attain profitability or commercialize our drugs.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In addition, FDA regulations and guidance may be revised or reinterpreted by the FDA in ways that may significantly affect our business and our products. If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significant changes to the design of planned clinical trials that impact their duration or cost;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additional clinical trials to be conducted prior to obtaining approval;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to manufacturing methods;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recalls, replacements, or discontinuance of one or more of our products, if approved;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additional recordkeeping.</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approvals for any of our product candidates would harm our business, financial condition, and results of operations. Further, we cannot predict the likelihood, nature, or extent of healthcare reform initiatives that may arise from future legislation or administrative action.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the Commercialization of Our Product Candidates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face substantial competition. Our main competitor in the CF market holds substantial market share and has substantially greater resources than we do. We may not be able to compete successfully in this environment and, in particular, against a much larger competitor.</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biotechnology and pharmaceutical industries are characterized by rapid advances, intense competition and a strong emphasis on proprietary and novel products and product candidates. We face substantial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particular, we expect to compete with Vertex, which has multiple approved products, as well as additional product candidates in development, for the treatment of CF that would compete with our product candidates, if approved. Vertex holds substantial market share in our product candidates’ proposed markets, and has substantially greater name recognition, financial resources and expertise in research and development, manufacturing, preclinical testing, conducting clinical trials, obtaining regulatory approvals and marketing approved products than we do. Our commercial opportunity could be reduced or eliminated if Vertex or another competitor develops and commercializes products that are safer or more effective, have fewer or less severe side effects, or are more convenient or are less expensive than any product candidate that we may develop. Vertex or another competitor may also obtain approval by FDA or comparable foreign regulatory authorities for its product candidates currently in development more rapidly than we may obtain approval for our product candidates. Competing products could present superior treatment alternatives and could render our product candidates obsolete or noncompetitive before we recover the expense of developing and commercializing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product candidates. Even if one or more of our product candidates achieves marketing approval, it may be priced at a significant premium over competitive products, or otherwise not achieve broad market access, resulting in reduced competitiveness. If we do not compete successfully, we may not generate or derive sufficient revenue from any product candidate for which we obtain marketing approval and may not become or remain profitable.</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Smaller or early-stage companies could also prove to be significant competitors, particularly through collaborative arrangements with large and established companies. This may include other small-molecule drug discovery companies using similar approaches or other types of therapies, such as gene therapy, gene editing and/or mRNA therapies. If successful, gene therapy, gene editing, and/or mRNA therapies could repair or replace the defective CFTR gene or produce functional CFTR protein and reduce or eliminate the need for CFTR modulators. These competitors also compete with us in recruiting and retaining qualified scientific and management personnel and establishing clinical trial sites and patient registration for clinical trials, as well as in acquiring intellectual property complementary to, or that may be necessary for, our programs. If we are unable to compete effectively, our opportunity to generate revenue from the sale of our products we may develop, if approved, could be adversely affected.</w:t>
      </w:r>
    </w:p>
    <w:p>
      <w:pPr>
        <w:pStyle w:val="TextBody"/>
        <w:bidi w:val="0"/>
        <w:spacing w:before="0" w:after="24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Even if any of our product candidates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any of our product candidates receive marketing approval, they may nonetheless fail to gain sufficient market acceptance by physicians, patients, third-party payors and others in the medical community. There is currently a well-established standard of care for CF, Trikafta, with which physicians, CF patients and payors are very familiar and for which an established benefit-risk profile exists. In addition, in December 2024, the FDA approved Alyftrek, which targets the same mechanisms as Trikafta. Even if our product candidates are successful in registrational clinical trials, they may not be successful in displacing the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if approved, if the current medication is effective. Further, patients often acclimate to the treatment regimen that they are currently taking and may not want to switch unless recommended to do so by their physician for clinical reasons or required to do so due to lack of coverage and adequate reimbursement. Even if we are able to demonstrate our product candidates’ safety and efficacy to the FDA and other regulators and receive approval, concerns in the medical community related to the comparative efficacy or side effect profile of our products may hinder market acceptance and uptake.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efficacy, safety and potential advantages compared to alternative treatments;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whether a product candidate is approved, if ever, as an add-on to standard of care or as part of a proprietary combination therapy;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prevalence and severity of any side effects;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offer our products at competitive prices;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convenience and ease of administration compared to alternative treatments;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product labeling or product insert requirements of the FDA or comparable foreign regulatory authorities, including any limitations or warnings contained in a product’s approved labeling, including any boxed warning;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product’s acceptance into standard of care treatment algorithms by medical societies that could affect payor and physician uptake;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effectiveness of sales and marketing efforts, and the strength of sales, marketing and distribution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availability of third-party coverage and adequate reimbursement for any product candidates, once approved;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willingness of the target patient population to try, and of physicians to prescribe, the product;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any restrictions on the use of our products together with other medications;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potential product liability claims and unfavorable publicity related to our products.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Any failure by one or more of our product candidates that obtains regulatory approvals to achieve market acceptance or commercial success would adversely affect our business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success of our product candidates or any future product candidate will depend significantly on coverage and adequate reimbursement by third-party payors or the willingness of patients to pay for these products if not covered.</w:t>
      </w:r>
    </w:p>
    <w:p>
      <w:pPr>
        <w:pStyle w:val="TextBody"/>
        <w:bidi w:val="0"/>
        <w:spacing w:lineRule="auto" w:line="288" w:before="0" w:after="240"/>
        <w:ind w:left="0" w:right="0" w:firstLine="720"/>
        <w:jc w:val="left"/>
        <w:rPr/>
      </w:pPr>
      <w:r>
        <w:rPr>
          <w:rFonts w:ascii="Arial;sans-serif" w:hAnsi="Arial;sans-serif"/>
          <w:b w:val="false"/>
          <w:color w:val="000000"/>
          <w:sz w:val="20"/>
        </w:rPr>
        <w:t>We believe that for any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Arial;sans-serif" w:hAnsi="Arial;sans-serif"/>
          <w:b w:val="false"/>
          <w:i/>
          <w:color w:val="000000"/>
          <w:sz w:val="20"/>
        </w:rPr>
        <w:t>Business— Government Regulation—Coverage and Reimbursement</w:t>
      </w:r>
      <w:r>
        <w:rPr>
          <w:color w:val="000000"/>
        </w:rPr>
        <w:t xml:space="preserve">” </w:t>
      </w:r>
      <w:r>
        <w:rPr>
          <w:rFonts w:ascii="Arial;sans-serif" w:hAnsi="Arial;sans-serif"/>
          <w:b w:val="false"/>
          <w:color w:val="000000"/>
          <w:sz w:val="20"/>
        </w:rPr>
        <w:t>in the Annual Report.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market for our product candidates may be smaller than we estimate.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estimates of the potential market opportunity for our product candidates include several key assumptions, based on our industry knowledge, industry publications and third-party research reports. These assumptions include the number of patients who have CF, as well as the estimated reimbursement levels for each product candidate, if approved.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If the actual market for any product candidates we may develop is smaller than we estimate, our revenues, if any, may be limited and it may be more difficult for us to achieve or maintain profitability.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Clinical trial and product liability lawsuits against us could divert our resources, cause us to incur substantial liabilities and limit commercialization of any products that we may develop.</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We face an inherent risk of clinical trial and product liability exposure related to the testing of our product candidates in human clinical trials and will face an even greater risk if we commercially sell any 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decreased demand for any product candidates that we may develop;</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termination of clinical trials;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injury to our reputation and significant negative media attention;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withdrawal of clinical trial participants;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significant costs to defend the related litigation;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substantial monetary awards paid to trial participants or patients;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product recalls, withdrawals or labeling, marketing or promotional restrictions;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loss of revenue;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reduced resources of our management to pursue our business strategy;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inability to commercialize any products that we may develop;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a decline in our stock price.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Related to Our Business Operations, Employee Matters and Managing Our Growth</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future success depends on our ability to retain key executives and to attract, retain and motivate qualified personnel.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expect to expand our clinical development and regulatory capabilities and potentially implement sales, marketing and distribution capabilities, and as a result, we may encounter difficulties in managing our growth, which could disrupt our operations.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business could be affected by litigation, government investigations and enforcement actions.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agencies from performing normal business functions on which the operation of our business may rely, which could negatively impact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Disruptions at the FDA and other agencies, including substantial leadership, personnel and policy changes, may also slow the time necessary for new product candidates to be reviewed and/or approved by necessary government agencies, which would adversely affect our business. For example, over the last several years, the U.S. government has shut down several times, including a 43-day period that began on October 1, 2025, due to budgetary issues and certain regulatory agencies, such as the FDA and the SEC, have had to furlough critical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government shutdowns or other disruptions at the FDA, SEC or other government agencies could impact our ability to access the public markets and obtain necessary capital in order to properly capitalize and continue our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both a code of business conduct and ethics and an insider trading policy,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our third-party manufacturers or suppliers do not comply with laws regulating the protection of the environment and health and human safety, our business could be affected adversely.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the use of hazardous materials by us or by one of our third-party manufacturers, we could be held liable for any resulting damages or be penalized with fines in an amount exceeding our resources, and our clinical trials or regulatory approvals could be suspended. We and our 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insurance policies are expensive and only protect us from some business risks, which will leave us exposed to significant uninsured liabilities.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do not carry insurance for all categories of risk that our business may encounter. Some of the policies we currently maintain include property, general liability, employment directors’ and officers’ and employment practices insurance, however, we may not be able to maintain insurance adequate levels of coverage in the future. Further, an insurance carrier may seek to cancel or deny coverage after a claim has occurred.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From time to time, we may consider strategic transactions, such as acquisitions of companies, asset purchases and strategic partnerships or out-licensing or in-licensing of intellectual property, product candidates or products. For example, we have entered into a license agreement with AbbVie that gives us exclusive worldwide rights to develop and commercialize three clinical-stage compounds.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Business disruptions could seriously harm our future revenue and financial condition and increase our costs and expenses.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pStyle w:val="TextBody"/>
        <w:bidi w:val="0"/>
        <w:spacing w:lineRule="auto" w:line="288" w:before="0" w:after="120"/>
        <w:jc w:val="left"/>
        <w:rPr>
          <w:rFonts w:ascii="Arial;sans-serif" w:hAnsi="Arial;sans-serif"/>
          <w:b/>
          <w:color w:val="000000"/>
          <w:sz w:val="20"/>
          <w:shd w:fill="FFFFFF" w:val="clear"/>
        </w:rPr>
      </w:pPr>
      <w:r>
        <w:rPr>
          <w:rFonts w:ascii="Arial;sans-serif" w:hAnsi="Arial;sans-serif"/>
          <w:b/>
          <w:color w:val="000000"/>
          <w:sz w:val="20"/>
          <w:shd w:fill="FFFFFF" w:val="clear"/>
        </w:rPr>
        <w:t>Risks Related to Ownership of Our Common Stock</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operating results may fluctuate significantly, which makes our future operating results difficult to predict and could cause our operating results to fall below expectations.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timing and success or failure of clinical trials for our product candidates or competing product candidates or any other change in the competitive landscape of our industry;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successfully recruit and retain subjects for clinical trials and any delays caused by difficulties in such efforts;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timing and cost of, and level of investment in, research, development, regulatory approvals and commercialization activities relating to our product candidates, which may change from time to time;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cost of manufacturing our product candidates, which may vary depending on the quantity of production and the terms of our agreements with manufacturers;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expenditures that we may incur to acquire, develop or commercialize additional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level of demand and the indication for any approved products, which may vary significantly;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risk/benefit profile, cost, coverage, and reimbursement policies with respect to our product candidates, if approved, and existing and potential future drugs that compete with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recruitment or departure of key personnel;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in the structure of healthcare payment systems;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timing and amount of any milestone, royalty or other payments payable by us or due to us under any collaboration, licensing or other similar agreement;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general market and economic conditions, including market conditions in the pharmaceutical and biotechnology sectors.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trading price of the shares of our common stock may be volatile, and investors could lose all or part of their investment.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market price for our stock has been highly volatile and may continue to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including in connection with conflicts in various regions of the world, increasing inflation rates, interest rate changes, and changes in U.S. federal policy. As a result of this volatility, investors may not be able to sell their common stock at or above the price paid for the shares. The market price for our common stock may be influenced by many factors,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commencement, enrollment or results of our current or future clinical trials of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adverse results from, delays in, suspension or termination of current or future clinical trials or preclinical studies of our product candidates, or any delay in advancing a clinical candidate;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success of competitive products gaining approvals or announcements by current and future competitors of their product development efforts;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any delay in our regulatory filings for our product candidates or any other product candidate we may develop, and any adverse development or perceived adverse development with respect to the applicable regulatory authority’s review of such filings;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reporting of unfavorable preclinical or clinical results;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success or failure to identify, develop, acquire or license additional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the degree and rate of physician and market adoption of any of our current and future product candidates, if successfully developed and approved;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manufacturing, supply or distribution delays or shortages, including our inability to obtain adequate supply of drug product, drug substance, raw materials or any commercially available product to be used in our clinical trials, at acceptable prices, or at all;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unanticipated serious safety concerns related to the use of our product candidates or any other product candidate;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cash position, and any changes in financial estimates by us or by any equity research analysts who cover our stock;</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in our capital structure, such as future issuances of securities and the incurrence of additional debt;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conditions or trends in our industry;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investors’ general perception of our company and our business;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our ability to effectively manage our growth;</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overall performance of the equity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in the market valuations and stock market price and volume fluctuations of comparable companies and, in particular, those that operate in the biopharmaceutical industry;</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publication of research reports about us or our industry or positive or negative recommendations or withdrawal of research coverage by securities analysts;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announcements by us or our competitors of significant acquisitions, strategic collaborations, joint ventures, capital commitments or divestitures;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third-party publications and discussions about our business on social media, forums and other websites;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recruitment or departure of key personnel;</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trading volume of our common stock;</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sales of common stock by us or our stockholders in the future;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disputes or other developments relating to proprietary rights, including patents, litigation matters and our ability to obtain patent protection for our product candidates;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significant lawsuits, including patent or stockholder litigation;</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in the structure of healthcare payment systems;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changes in accounting standards, policies, guidelines, interpretations or principles;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regulatory or legal developments in the U.S. and foreign countries;</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market conditions in the pharmaceutical and biotechnology sectors;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general economic, geopolitical and stock market conditions;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other events or factors, many of which are beyond our control.</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These and other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The price of our common stock may be disproportionately affected as investors may favor traditional profit-making industries and companies during times of market uncertainty and instability.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the trading market for our common stock will depend in part on the research and reports that securities or industry analysts publish about us or our business. If one or more of these analysts ceases coverage of us, fails to publish reports on us regularly or publish inaccurate or unfavorable research about our business, demand for our stock could decrease, which might cause our stock price and trading volume to decline.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not be able to satisfy listing requirements of Nasdaq or obtain or maintain a listing of our common stock on Nasdaq.</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Since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may significantly reduce the value of our shares to a potential acquiror or make it difficult for a third party to acquire, or attempt to acquire, control of our company, even if a change of control was considered favorable by our stockholders. For example, our board of directors has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Our charter documents also contain other provisions that could have an anti-takeover effect, including:</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only one of our three classes of directors will be elected each year;</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stockholders are not entitled to remove directors other than by a two-thirds (2/3) vote and only for cause;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stockholders are not permitted to take actions by written consent;</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20"/>
        </w:rPr>
        <w:t>stockholders cannot call a special meeting of stockholders; and</w:t>
      </w:r>
    </w:p>
    <w:p>
      <w:pPr>
        <w:pStyle w:val="TextBody"/>
        <w:bidi w:val="0"/>
        <w:spacing w:lineRule="auto" w:line="288" w:before="0" w:after="240"/>
        <w:ind w:left="0" w:right="0" w:hanging="180"/>
        <w:jc w:val="left"/>
        <w:rPr/>
      </w:pPr>
      <w:r>
        <w:rPr>
          <w:color w:val="000000"/>
        </w:rPr>
        <w:t>•</w:t>
      </w:r>
      <w:r>
        <w:rPr>
          <w:rFonts w:ascii="Arial;sans-serif" w:hAnsi="Arial;sans-serif"/>
          <w:b w:val="false"/>
          <w:color w:val="000000"/>
          <w:sz w:val="20"/>
        </w:rPr>
        <w:t>stockholders must give advance notice to nominate directors or submit proposals for consideration at stockholder meetings.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Our executive officers, directors, principal stockholders, and their respective affiliates own a significant percentage of our stock and are able to exert significant control over matters subject to stockholder approval.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executive officers, directors and current beneficial owners of 5% or more of our common stock and their respective affiliates beneficially own a significant percentage of our outstanding common stock. As a result, these persons, acting together, would be able to control all matters requiring stockholder approval, including the election and removal of directors, any merger, consolidation, sale of all or substantially all of our assets, or other significant corporate transactions. </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Some of these persons or entities may have interests different than other stockholders.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The significant concentration of ownership may adversely affect the trading price of our common stock due to investors' perceptions that it may create conflicts of interest.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do not anticipate paying any cash dividends on our common stock in the foreseeable future.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the sole source of gain for our stockholders for the foreseeable future. Investors seeking cash dividends should not purchase our common stock. There is no guarantee that shares of our common stock will appreciate in value or even maintain the price at which stockholders have purchased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Our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of 1933, as amended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The Delaware Forum Provision and the Federal Forum Provision in our bylaws may impose additional litigation costs on stockholders in pursuing any such claims.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the ordinary course of our business, we and the third parties upon which we rely, process, collect, receive, store, use, transfer, protect, secure, dispose of, transmit, and share proprietary, confidential, and sensitive data, including personal data (such as health-related data), intellectual property and trade secrets. The secure processing, maintenance and transmission of such sensitive information is critical to our operations. Despite our security measures, our information technology and infrastructure may be vulnerable to attacks by hackers or breached due to employee error, malfeasance or other disruptions.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like others in our industry,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nor have we enlisted any external parties to conduct security audits or penetration tests on our behalf.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We may expend significant resources or modify our business activities (including our clinical trial activities) to endeavor to protect against security incidents.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will be effective. Additionally, certain federal, state and foreign government requirements include obligations of companies to notify individuals of security breaches involving particular categories of personally identifiable information, which could result from breaches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experienced by us or the third parties upon whom we rely. Such disclosures are costly, and the disclosure or the failure to comply with such requirements could lead to adverse consequences.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not be able to detect and remediate vulnerabilities in our information technology systems because the threats and techniques used to exploit vulnerabilities change frequently and are often sophisticated in nature. Therefore, such vulnerabilities could be exploited but may not be detected until after a security incident has occurred. Such vulnerabilities could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although we maintain cyber liability insurance,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adverse impacts relating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the California Consumer Privacy Act (the "CCPA")), and other similar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civil and criminal penalties if we knowingly obtain, use or disclose individually identifiable health information maintained by a HIPAA-covered entity in a manner that is not authorized or permitted by HIPAA.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At the state level, numerous U.S. states have enacted comprehensive privacy laws that impose certain obligations on covered businesses. For example, the CCPA establishes data privacy rights for individuals located in California and imposes certain requirements on how businesses can collect, use, and share personal information about such individuals. The California Privacy Rights Act (the "CPRA") significantly modified the CCPA and imposes additional obligations on companies covered by the legislation, including by expanding consumers' rights with respect to personal information, and established a state agency vested with the authority to enforce the CCPA. While these state laws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are specifically focused upon health privacy, such as Washington’s My Health My Data Act, which imposes an additional layer of protection regarding consumer health data and creates a private right of action. A smaller number of states have passed laws protecting biometric information. The effects of state and federal privacy laws are potentially significant and may require us to modify our data processing practices and policies and to incur substantial costs and potential liability in an effort to comply with them.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Additionally, through executive and legislative action, the federal government has taken steps to restrict data transactions involving certain sensitive data categories – including health data, genetic data, and biospecimens – with persons or entities affiliated with China and certain other countries of concern. For example, the Department of Justice's January 8, 2025, Rule on Preventing Access to U.S. Sensitive Personal Data and Government-Related Data by Countries of Concern or Covered Persons, prohibits transfers of certain types of data, including health data, genetic data, and biospecimens, to countries of concern, including China. Actual or alleged violations of these laws and regulations may be punishable by criminal and/or civil sanctions and may result in increased risk to our business of regulatory enforcement, litigation and reputational damage.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Outside the U.S., an increasing number of laws, regulations, and industry standards may govern data privacy and security. For example, if we commence clinical trials in Europe, which we anticipate commencing if our product candidates advance to later stages of development, our processing of personal data in that context would become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Laws and regulations related to privacy, data protection and security are continuing to evolve and are becoming increasingly stringent. Additionally, these laws may be subject to differing applications 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or conduct clinical trials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Artificial intelligence presents risks and challenges that can impact our business, including by posing cybersecurity risks to our confidential information, proprietary information, and personal data.</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use, and our vendors may incorporate, artificial intelligence ("AI"), both in our own development and implementation of AI and through the adoption of commercially available tools. The use of AI presents risks and challenges that could adversely affect our business and reputation, including cybersecurity, data privacy, IT, confidentiality, regulatory, legal, operational, competitive, reputational, intellectual property and other risks.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claims of infringement, legal liabilities or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Additionally, our vendors may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The use of generative AI models in our internal or third-party systems may create new attack surfaces or methods for adversaries, which could impact us and our vendors. Any of these effects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damage our reputation, result in the loss of valuable property and information, cause us to breach applicable laws and regulations, and adversely impact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 persons, entities, countries, and territories, including those that are the target of comprehensive sanctions or an embargo.</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are also subject to anti-corruption and anti-bribery laws, including the U.S. Foreign Corrupt Practices Act of 1977, as amended (the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fail to maintain an effective system of internal controls over financial reporting, our ability to produce accurate financial statements on a timely basis could be impaired.</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subject to the reporting requirements of the Exchange Act, the Sarbanes-Oxley Act of 2002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must perform system and process evaluation and testing of our internal control over financial reporting to allow management to report on the effectiveness of our internal control over financial reporting in our Form 10-K filing for each year, as required by Section 404 of the Sarbanes-Oxley Act. This requires that we incur substantial additional professional fees and internal costs to expand our accounting and finance functions and that we expend significant management efforts. Prior to our initial public offering, we had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may identify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price of our stock could decline and we could be subject to sanctions or investigations by the stock exchange on which our common stock is listed, the SEC or other regulatory authorities.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might not be able to utilize a significant portion of our net operating loss carryforwards.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have generated, and expect to continue to generate, significant federal and state net operating loss (“NOL”) carryforwards. As of December 31, 2025, we had federal and state net operating loss carryforwards of $148.0 million and $155.4 million, respectively. Under current tax laws and regulations, these NOL carryforwards could expire unused and be unavailable to offset future income tax liabilities. Under the Tax Cuts and Jobs Act, as modified by the Coronavirus Aid, Relief, and Economic Security Act, federal NOLs incurred in taxable years beginning after December 31, 2017 generally may be carried forward indefinitely, but the deductibility of such federal NOLs is limited to 80% of our taxable income for taxable years beginning after December 31, 2020. We cannot predict with certainty when, or whether, we will generate sufficient taxable income to use all of our NOLs.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In addition, under Sections 382 and 383 of the Internal Revenue Code of 1986, as amended (the "IRC"), and corresponding provisions of state law, if a corporation undergoes an “ownership change,” which is generally defined as a greater than 50% change by value, in its equity ownership by certain stockholders over a rolling three-year period, the corporation’s ability to use its pre-change NOL carryforwards and other pre-change tax attributes to offset its post-change income or taxes may be limited. We may have experienced ownership changes in the past and may experience ownership changes as a result of subsequent shifts in our stock ownership which may be out of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New tax laws or regulations, changes to existing tax laws or regulations or changes in their application to us may have a material adverse effect on our business, cash flows, financial condition or results of operations.</w:t>
      </w:r>
    </w:p>
    <w:p>
      <w:pPr>
        <w:pStyle w:val="TextBody"/>
        <w:bidi w:val="0"/>
        <w:spacing w:lineRule="auto" w:line="288" w:before="0" w:after="360"/>
        <w:ind w:left="0" w:right="0" w:firstLine="720"/>
        <w:jc w:val="left"/>
        <w:rPr/>
      </w:pPr>
      <w:r>
        <w:rPr>
          <w:rFonts w:ascii="Arial;sans-serif" w:hAnsi="Arial;sans-serif"/>
          <w:b w:val="false"/>
          <w:color w:val="000000"/>
          <w:sz w:val="20"/>
        </w:rPr>
        <w:t xml:space="preserve">U.S. federal, state, local and foreign tax laws, regulations and administrative guidance are subject to change as a result of the legislative process and review and interpretation by the U.S. Internal Revenue Service, the U.S. Treasury Department and other taxing authorities. For example, </w:t>
      </w:r>
      <w:r>
        <w:rPr>
          <w:rFonts w:ascii="Arial;sans-serif" w:hAnsi="Arial;sans-serif"/>
          <w:b w:val="false"/>
          <w:color w:val="000000"/>
          <w:sz w:val="20"/>
          <w:shd w:fill="FFFFFF" w:val="clear"/>
        </w:rPr>
        <w:t xml:space="preserve">budget reconciliation bill H.R. 1, referred to as </w:t>
      </w:r>
      <w:r>
        <w:rPr>
          <w:rFonts w:ascii="Arial;sans-serif" w:hAnsi="Arial;sans-serif"/>
          <w:b w:val="false"/>
          <w:color w:val="000000"/>
          <w:sz w:val="20"/>
        </w:rPr>
        <w:t xml:space="preserve">the One Big Beautiful Bill Act ("H.R. 1") was signed into law on July 4, 2025, and made significant changes to U.S. federal tax law. Changes to tax laws (which changes may have retroactive application), including with respect to net operating losses and research and development tax credits, could adversely affect us or holders of our common stock.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example, under H.R. 1, taxpayers are now permitted to immediately deduct domestic research and development expenses for taxable years beginning after December 31, 2024. Taxpayers may alternatively elect to capitalize and amortize such expenses. In addition, H.R. 1 provides that for taxable years beginning after December 31, 2021 and before January 1, 2025, certain eligible taxpayers generally may elect to retroactively deduct expenses for domestic research and development expenses in such taxable years by filing amended tax returns for such taxable years, and all other taxpayers that are not eligible to make such an election and that amortized expenses for domestic research and development expenses in such taxable years generally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elect to accelerate and deduct the remaining unamortized amounts of such expenses (i) in the first taxable year beginning after December 31, 2024, or (ii) ratably over the two-taxable year period beginning with the first taxable year beginning after December 31, 2024. However, pursuant to Section 174 of the IRC, in taxable years beginning after December 31, 2021, foreign research and development expenses must continue to be capitalized and amortized.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recent years, many changes to tax laws have been made and changes are likely to continue to occur in the future. Since early 2025, U.S. policy changes have been implemented at a rapid pace, and additional changes, including to tax laws, are likely. Future changes in tax laws could have a material adverse effect on our business, cash flow, financial condition or results of operations.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eligible to be treated as an “emerging growth company” and a “smaller reporting company” and, as a result of the reduced disclosure and governance requirements applicable to emerging growth companies and smaller reporting companies, our common stock may be less attractive to investors. Beginning on January 1, 2027, we will no longer qualify as a smaller reporting company, which will increase our disclosure obligations and compliance costs.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Based on the market value of our common stock held by our non-affiliates as of June 30, 2026, we will no longer be a smaller reporting company as of January 1, 2027. However, under the SEC’s transition rules, we will remain eligible to provide scaled disclosure according to exemptions available to smaller reporting companies until our Quarterly Report on Form 10-Q for the quarter ending March 31, 2027. Beginning with that report, we will be required to provide more extensive disclosure than we have provided historically, including expanded business description, management’s discussion and analysis, market risk, related-party and corporate governance disclosures. Preparing this additional disclosure will require us to devote additional management time and to incur additional legal, accounting and other compliance costs. Notwithstanding our loss of smaller reporting company status, based on recent SEC guidance, we expect to continue to qualify as a non-accelerated filer through at least our fiscal year ending December 31, 2027, and as a non-accelerated filer we will remain exempt from the auditor attestation requirements of Section 404(b) of the Sarbanes-Oxley Act. Further, we expect to continue to qualify as an emerging growth company as described below.</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an “emerging growth company” as defined in the Jumpstart Our Business Startups Act of 2012, as amended (the “JOBS Act”). For as long as we continue to be an emerging growth company, we may take advantage of certain exemptions from reporting requirements that are applicable to other public companies that are not emerging growth companies, including: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not being required to comply with the auditor attestation requirements in the assessment of our internal control over financial reporting;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providing only two years of audited financial statements in addition to any required unaudited interim financial statements and correspondingly reduced “Management’s Discussion and Analysis of Financial Condition and Results of Operations” disclosure;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reduced disclosure obligations regarding executive compensation in our periodic reports, proxy statements and registration statements;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not being required to hold a nonbinding advisory vote on executive compensation and stockholder approval of any golden parachute payments not previously approved.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Section 107(b) of the JOBS Act, emerging growth companies can delay adopting new or revised accounting standards until such time as those standards apply to private companies, and we rely on this exemption.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incur significant costs and demands upon management as a result of being a public company.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As a public company, we incur significant additional legal, accounting and other costs that we did not incur as a private company. We are now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We expect the rules and regulations applicable to public companies to substantially increase our legal and financial compliance costs and to make some activities more time-consuming and costly as compared to a private company. If these requirements divert the attention of our management and personnel from other business concerns, they could have an adverse effect on our business. The increased costs will increase our net loss, and may require us to reduce costs in other areas of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Unstable global economic and geopolitical conditions could adversely affect our business, financial condition, stock price, and results of operations.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actual or anticipated changes in U.S. policies or regulatory environment, current or anticipated impact of military conflict, including the ongoing conflicts between Russia and Ukraine and in the Middle East, terrorism or other geopolitical events. Sanctions imposed by the U.S. and other countries in response to such conflicts may adversely impact the financial markets and the global economy, and the economic countermeasures by the affected countries or others could exacerbate market and economic instability.</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continue to deteriorate, it may make any necessary equity or debt financing more difficult, more costly, and more dilutive. Failure to secure any necessary financing in a timely manner and on favorable terms could have a material adverse effect on our growth strategy, financial performance and stock price and could require us to delay, scale back or discontinue the clinical development of one or more of our product candidates.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pStyle w:val="TextBody"/>
        <w:bidi w:val="0"/>
        <w:spacing w:lineRule="auto" w:line="26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Changes in U.S. federal policy that affect the geopolitical landscape could give rise to circumstances outside our control that could have negative impacts on our business operations. For example, in 2025, the U.S. imposed broad-based tariffs on imports from almost all countries, including significant tariffs applicable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68" w:before="0" w:after="360"/>
        <w:jc w:val="left"/>
        <w:rPr>
          <w:rFonts w:ascii="Arial;sans-serif" w:hAnsi="Arial;sans-serif"/>
          <w:b w:val="false"/>
          <w:color w:val="000000"/>
          <w:sz w:val="20"/>
        </w:rPr>
      </w:pPr>
      <w:r>
        <w:rPr>
          <w:rFonts w:ascii="Arial;sans-serif" w:hAnsi="Arial;sans-serif"/>
          <w:b w:val="false"/>
          <w:color w:val="000000"/>
          <w:sz w:val="20"/>
        </w:rPr>
        <w:t>imports from China, where certain of our clinical trial materials are manufactured. In response to tariffs, other countries have implemented retaliatory tariffs on U.S. goods. While certain tariffs were subsequently suspended, modified, or temporarily reduced, their impact has already been seen, and we expect will continue to be seen, in global markets. Historically, tariffs have led to increased trade and political tensions between the U.S. and countries in the international community.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become involved in litigation that could divert management’s attention and harm our business, and insurance coverage may not be sufficient to cover all costs and damages.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We may be exposed to such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    On February 6, 2025, the SEC declared effective our registration statement on Form S-1 (File No. 333-284352), as amended, filed in connection with our initial public offering (the "Registration Statement"). Pursuant to the Registration Statement, we issued and sold 12,176,467 shares of our common stock, which included 1,588,234 shares of common stock sold pursuant to the underwriters' full exercise of their option to purchase additional shares, at a price to the public of $18.00 per share. Goldman Sachs &amp; Co. LLC, TD Securities (USA) LLC, Stifel, Nicolaus &amp; Company, Incorporated, and Guggenheim Securities, LLC acted as representatives of the underwriters for the offering. We raised aggregate net proceeds of $199.6 million, after deducting underwriter discounts, commissions and other offering expenses.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We are holding a significant portion of the balance of the net proceeds in money market funds. There has been no material change in the planned use of the net proceeds from our initial public offering, as described in our final prospectus filed with the SEC on February 7, 2025 pursuant to Rule 424(b) under the Securities Act.</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36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    During the three months ended June 30, 2026, none of our directors or executive officers adopted, modified, or terminated any contract, instruction or written plan for the purchase or sale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360"/>
        <w:jc w:val="left"/>
        <w:rPr>
          <w:rFonts w:ascii="Arial;sans-serif" w:hAnsi="Arial;sans-serif"/>
          <w:b w:val="false"/>
          <w:color w:val="000000"/>
          <w:sz w:val="20"/>
        </w:rPr>
      </w:pPr>
      <w:r>
        <w:rPr>
          <w:rFonts w:ascii="Arial;sans-serif" w:hAnsi="Arial;sans-serif"/>
          <w:b w:val="false"/>
          <w:color w:val="000000"/>
          <w:sz w:val="20"/>
        </w:rPr>
        <w:t>securities that was intended to satisfy the affirmative defense conditions of Rule 10b5-1(c) or any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91e5cedaeb94d7faa092f7e53384809_13">
        <w:r>
          <w:rPr>
            <w:rStyle w:val="InternetLink"/>
            <w:rFonts w:ascii="Arial;sans-serif" w:hAnsi="Arial;sans-serif"/>
            <w:b/>
            <w:color w:val="0000FF"/>
            <w:sz w:val="20"/>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120"/>
        <w:ind w:left="0" w:right="0" w:firstLine="720"/>
        <w:jc w:val="left"/>
        <w:rPr/>
      </w:pPr>
      <w:r>
        <w:rPr>
          <w:rFonts w:ascii="Arial;sans-serif" w:hAnsi="Arial;sans-serif"/>
          <w:b w:val="false"/>
          <w:color w:val="000000"/>
          <w:sz w:val="20"/>
        </w:rPr>
        <w:t>(a)</w:t>
      </w:r>
      <w:r>
        <w:rPr>
          <w:rFonts w:ascii="Arial;sans-serif" w:hAnsi="Arial;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9"/>
        <w:gridCol w:w="2617"/>
        <w:gridCol w:w="371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Fifth Amended and Restated Certificate of Incorporation of Sionna Therapeutics, Inc. (Incorporated by reference to Exhibit 3.1 of the Registrant’s Current Report on Form 8-K (File No. 001-42504) filed on February 10,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Amended and Restated Bylaws of Sionna Therapeutics, Inc. (Incorporated by reference to Exhibit 3.2 of the Registrant’s Current Report on Form 8-K (File No. 001-42504) filed on February 10,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Specimen Common Stock Certificate (Incorporated by reference to Exhibit 4.1 of the Registrant’s Registration Statement on Form S-1 (File No. 333-284352) filed on January 17,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onna-10xkxex311certifica.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onna-10xkxex312certifica.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onna-10xkxex321certifica.htm">
              <w:r>
                <w:rPr>
                  <w:rStyle w:val="InternetLink"/>
                  <w:rFonts w:ascii="Arial;sans-serif" w:hAnsi="Arial;sans-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With Embedded Linkbase Documents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*Filed herewith.</w:t>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+The certification furnished in Exhibit 32.1 hereto is deemed to be furnished with this Quarterly Report and will not be deemed to be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591e5cedaeb94d7faa092f7e53384809_13">
        <w:r>
          <w:rPr>
            <w:rStyle w:val="InternetLink"/>
            <w:rFonts w:ascii="Arial;sans-serif" w:hAnsi="Arial;sans-serif"/>
            <w:b/>
            <w:strike w:val="false"/>
            <w:dstrike w:val="false"/>
            <w:color w:val="0000FF"/>
            <w:sz w:val="20"/>
            <w:u w:val="none"/>
            <w:effect w:val="non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68" w:before="0" w:after="0"/>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231" w:type="dxa"/>
        <w:jc w:val="left"/>
        <w:tblInd w:w="0" w:type="dxa"/>
        <w:tblLayout w:type="fixed"/>
        <w:tblCellMar>
          <w:top w:w="28" w:type="dxa"/>
          <w:left w:w="28" w:type="dxa"/>
          <w:bottom w:w="28" w:type="dxa"/>
          <w:right w:w="28" w:type="dxa"/>
        </w:tblCellMar>
      </w:tblPr>
      <w:tblGrid>
        <w:gridCol w:w="711"/>
        <w:gridCol w:w="624"/>
        <w:gridCol w:w="630"/>
        <w:gridCol w:w="316"/>
        <w:gridCol w:w="316"/>
        <w:gridCol w:w="316"/>
        <w:gridCol w:w="316"/>
        <w:gridCol w:w="316"/>
        <w:gridCol w:w="316"/>
        <w:gridCol w:w="1564"/>
        <w:gridCol w:w="1564"/>
        <w:gridCol w:w="224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SIONNA THERAPEUTICS,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Cloonan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Cloonan, M.B.A.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Elena Ridloff</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Elena Ridloff, C.F.A.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OR 15d-14(a) UNDER THE SECURITIES EXCHANGE ACT OF 1934,</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Michael Cloonan, certify that: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Sionna Therapeutics, Inc.;</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150"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353"/>
        <w:gridCol w:w="353"/>
        <w:gridCol w:w="353"/>
        <w:gridCol w:w="353"/>
        <w:gridCol w:w="353"/>
        <w:gridCol w:w="353"/>
        <w:gridCol w:w="353"/>
        <w:gridCol w:w="353"/>
        <w:gridCol w:w="500"/>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324" w:type="dxa"/>
            <w:gridSpan w:val="9"/>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Michael Clonan</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Cloonan</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shd w:fill="FFFFFF" w:val="clear"/>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333" w:before="15" w:after="2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OR 15d-14(a) UNDER THE SECURITIES EXCHANGE ACT OF 1934,</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Elena Ridloff, certify that: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ended June 30, 2026 of Sionna Therapeutics, Inc.;</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0" w:after="0"/>
        <w:ind w:left="0" w:right="0" w:hanging="720"/>
        <w:jc w:val="left"/>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w:t>
      </w:r>
      <w:r>
        <w:rPr>
          <w:color w:val="000000"/>
        </w:rPr>
        <w:t xml:space="preserve"> </w:t>
      </w:r>
      <w:r>
        <w:rPr>
          <w:rFonts w:ascii="Times New Roman;serif" w:hAnsi="Times New Roman;serif"/>
          <w:b w:val="false"/>
          <w:color w:val="000000"/>
          <w:sz w:val="20"/>
        </w:rPr>
        <w:t>and internal control over financial reporting (as defined in Exchange Act Rules 13a-15(f) and 15d-15(f)) for the registrant and have:</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34"/>
        <w:gridCol w:w="134"/>
        <w:gridCol w:w="136"/>
        <w:gridCol w:w="1585"/>
        <w:gridCol w:w="1585"/>
        <w:gridCol w:w="2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shd w:fill="FFFFFF" w:val="clear"/>
            <w:tcMar>
              <w:top w:w="0" w:type="dxa"/>
              <w:left w:w="0" w:type="dxa"/>
              <w:bottom w:w="0" w:type="dxa"/>
              <w:right w:w="0" w:type="dxa"/>
            </w:tcMar>
            <w:vAlign w:val="center"/>
          </w:tcPr>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lineRule="auto" w:line="240" w:before="43" w:after="20"/>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Elena Ridloff</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Elena Ridloff</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shd w:fill="FFFFFF" w:val="clear"/>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15" w:after="20"/>
              <w:jc w:val="center"/>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PRINCIPAL EXECUTIVE OFFICER AND PRINCIPAL FINANCIAL OFFICER PURSUANT TO</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Sionna Therapeutics, Inc. (the “Company”) for the quarter ended June 30, 2026 as filed with the Securities and Exchange Commission on the date hereof (the “Report”), each of the undersigned hereby certify, pursuant to 18 U.S.C. § 1350, as adopted pursuant to § 906 of the Sarbanes-Oxley Act of 2002, that:</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333"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6196"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358"/>
        <w:gridCol w:w="358"/>
        <w:gridCol w:w="358"/>
        <w:gridCol w:w="358"/>
        <w:gridCol w:w="358"/>
        <w:gridCol w:w="358"/>
        <w:gridCol w:w="358"/>
        <w:gridCol w:w="358"/>
        <w:gridCol w:w="506"/>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370" w:type="dxa"/>
            <w:gridSpan w:val="9"/>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Michael Cloonan</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Cloonan</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shd w:fill="FFFFFF" w:val="clear"/>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 xml:space="preserve">President and Chief Executive Officer </w:t>
            </w:r>
          </w:p>
          <w:p>
            <w:pPr>
              <w:pStyle w:val="TableContents"/>
              <w:bidi w:val="0"/>
              <w:spacing w:lineRule="auto" w:line="333" w:before="15" w:after="2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0"/>
        <w:jc w:val="left"/>
        <w:rPr/>
      </w:pPr>
      <w:r>
        <w:rPr/>
      </w:r>
    </w:p>
    <w:tbl>
      <w:tblPr>
        <w:tblW w:w="8238"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09"/>
        <w:gridCol w:w="109"/>
        <w:gridCol w:w="109"/>
        <w:gridCol w:w="109"/>
        <w:gridCol w:w="109"/>
        <w:gridCol w:w="109"/>
        <w:gridCol w:w="109"/>
        <w:gridCol w:w="109"/>
        <w:gridCol w:w="109"/>
        <w:gridCol w:w="575"/>
        <w:gridCol w:w="575"/>
        <w:gridCol w:w="575"/>
        <w:gridCol w:w="575"/>
        <w:gridCol w:w="575"/>
        <w:gridCol w:w="575"/>
        <w:gridCol w:w="575"/>
        <w:gridCol w:w="575"/>
        <w:gridCol w:w="812"/>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412" w:type="dxa"/>
            <w:gridSpan w:val="9"/>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Elena Ridloff</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9"/>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Elena Ridloff</w:t>
            </w:r>
          </w:p>
        </w:tc>
      </w:tr>
      <w:tr>
        <w:trPr/>
        <w:tc>
          <w:tcPr>
            <w:tcW w:w="184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9"/>
            <w:tcBorders/>
            <w:shd w:fill="FFFFFF" w:val="clear"/>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15" w:after="20"/>
              <w:jc w:val="center"/>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6042/000119312525008474/d882384dex31.htm" TargetMode="External"/><Relationship Id="rId3" Type="http://schemas.openxmlformats.org/officeDocument/2006/relationships/hyperlink" Target="https://www.sec.gov/Archives/edgar/data/2036042/000119312525023570/d886749dex32.htm" TargetMode="External"/><Relationship Id="rId4" Type="http://schemas.openxmlformats.org/officeDocument/2006/relationships/hyperlink" Target="https://www.sec.gov/Archives/edgar/data/2036042/000119312525008474/d882384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56774</Words>
  <Characters>322316</Characters>
  <CharactersWithSpaces>377468</CharactersWithSpaces>
  <Paragraphs>2659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