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868680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12, 2026</w:t>
      </w:r>
    </w:p>
    <w:p>
      <w:pPr>
        <w:spacing w:after="0" w:line="44"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SIONNA THERAPEUTICS,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0"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167" w:lineRule="exact"/>
        <w:rPr>
          <w:sz w:val="24"/>
          <w:szCs w:val="24"/>
          <w:color w:val="auto"/>
        </w:rPr>
      </w:pPr>
    </w:p>
    <w:tbl>
      <w:tblPr>
        <w:tblLayout w:type="fixed"/>
        <w:tblInd w:w="1300" w:type="dxa"/>
        <w:tblCellMar>
          <w:top w:w="0" w:type="dxa"/>
          <w:left w:w="0" w:type="dxa"/>
          <w:bottom w:w="0" w:type="dxa"/>
          <w:right w:w="0" w:type="dxa"/>
        </w:tblCellMar>
      </w:tblPr>
      <w:tr>
        <w:trPr>
          <w:trHeight w:val="265"/>
        </w:trPr>
        <w:tc>
          <w:tcPr>
            <w:tcW w:w="1980" w:type="dxa"/>
            <w:vAlign w:val="bottom"/>
          </w:tcPr>
          <w:p>
            <w:pPr>
              <w:jc w:val="center"/>
              <w:ind w:right="24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820" w:type="dxa"/>
            <w:vAlign w:val="bottom"/>
          </w:tcPr>
          <w:p>
            <w:pPr>
              <w:jc w:val="center"/>
              <w:ind w:right="78"/>
              <w:spacing w:after="0"/>
              <w:rPr>
                <w:sz w:val="20"/>
                <w:szCs w:val="20"/>
                <w:color w:val="auto"/>
              </w:rPr>
            </w:pPr>
            <w:r>
              <w:rPr>
                <w:rFonts w:ascii="Times New Roman" w:cs="Times New Roman" w:eastAsia="Times New Roman" w:hAnsi="Times New Roman"/>
                <w:sz w:val="18"/>
                <w:szCs w:val="18"/>
                <w:b w:val="1"/>
                <w:bCs w:val="1"/>
                <w:color w:val="auto"/>
                <w:w w:val="99"/>
              </w:rPr>
              <w:t>001-42504</w:t>
            </w:r>
          </w:p>
        </w:tc>
        <w:tc>
          <w:tcPr>
            <w:tcW w:w="1580" w:type="dxa"/>
            <w:vAlign w:val="bottom"/>
          </w:tcPr>
          <w:p>
            <w:pPr>
              <w:jc w:val="center"/>
              <w:ind w:left="362"/>
              <w:spacing w:after="0"/>
              <w:rPr>
                <w:sz w:val="20"/>
                <w:szCs w:val="20"/>
                <w:color w:val="auto"/>
              </w:rPr>
            </w:pPr>
            <w:r>
              <w:rPr>
                <w:rFonts w:ascii="Times New Roman" w:cs="Times New Roman" w:eastAsia="Times New Roman" w:hAnsi="Times New Roman"/>
                <w:sz w:val="18"/>
                <w:szCs w:val="18"/>
                <w:b w:val="1"/>
                <w:bCs w:val="1"/>
                <w:color w:val="auto"/>
                <w:w w:val="98"/>
              </w:rPr>
              <w:t>84-2801521</w:t>
            </w:r>
          </w:p>
        </w:tc>
      </w:tr>
      <w:tr>
        <w:trPr>
          <w:trHeight w:val="178"/>
        </w:trPr>
        <w:tc>
          <w:tcPr>
            <w:tcW w:w="1980" w:type="dxa"/>
            <w:vAlign w:val="bottom"/>
          </w:tcPr>
          <w:p>
            <w:pPr>
              <w:jc w:val="center"/>
              <w:ind w:right="26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82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580" w:type="dxa"/>
            <w:vAlign w:val="bottom"/>
          </w:tcPr>
          <w:p>
            <w:pPr>
              <w:jc w:val="center"/>
              <w:ind w:left="34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980" w:type="dxa"/>
            <w:vAlign w:val="bottom"/>
          </w:tcPr>
          <w:p>
            <w:pPr>
              <w:jc w:val="center"/>
              <w:ind w:right="24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82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580" w:type="dxa"/>
            <w:vAlign w:val="bottom"/>
          </w:tcPr>
          <w:p>
            <w:pPr>
              <w:jc w:val="center"/>
              <w:ind w:left="3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66"/>
        </w:trPr>
        <w:tc>
          <w:tcPr>
            <w:tcW w:w="1980" w:type="dxa"/>
            <w:vAlign w:val="bottom"/>
          </w:tcPr>
          <w:p>
            <w:pPr>
              <w:spacing w:after="0"/>
              <w:rPr>
                <w:sz w:val="24"/>
                <w:szCs w:val="24"/>
                <w:color w:val="auto"/>
              </w:rPr>
            </w:pPr>
          </w:p>
        </w:tc>
        <w:tc>
          <w:tcPr>
            <w:tcW w:w="482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rPr>
              <w:t>SIONNA THERAPEUTICS, INC.</w:t>
            </w:r>
          </w:p>
        </w:tc>
        <w:tc>
          <w:tcPr>
            <w:tcW w:w="1580" w:type="dxa"/>
            <w:vAlign w:val="bottom"/>
          </w:tcPr>
          <w:p>
            <w:pPr>
              <w:spacing w:after="0"/>
              <w:rPr>
                <w:sz w:val="24"/>
                <w:szCs w:val="24"/>
                <w:color w:val="auto"/>
              </w:rPr>
            </w:pPr>
          </w:p>
        </w:tc>
      </w:tr>
      <w:tr>
        <w:trPr>
          <w:trHeight w:val="216"/>
        </w:trPr>
        <w:tc>
          <w:tcPr>
            <w:tcW w:w="1980" w:type="dxa"/>
            <w:vAlign w:val="bottom"/>
          </w:tcPr>
          <w:p>
            <w:pPr>
              <w:spacing w:after="0"/>
              <w:rPr>
                <w:sz w:val="18"/>
                <w:szCs w:val="18"/>
                <w:color w:val="auto"/>
              </w:rPr>
            </w:pPr>
          </w:p>
        </w:tc>
        <w:tc>
          <w:tcPr>
            <w:tcW w:w="482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21 Hickory Drive, Suite 500</w:t>
            </w:r>
          </w:p>
        </w:tc>
        <w:tc>
          <w:tcPr>
            <w:tcW w:w="1580" w:type="dxa"/>
            <w:vAlign w:val="bottom"/>
          </w:tcPr>
          <w:p>
            <w:pPr>
              <w:spacing w:after="0"/>
              <w:rPr>
                <w:sz w:val="18"/>
                <w:szCs w:val="18"/>
                <w:color w:val="auto"/>
              </w:rPr>
            </w:pPr>
          </w:p>
        </w:tc>
      </w:tr>
      <w:tr>
        <w:trPr>
          <w:trHeight w:val="214"/>
        </w:trPr>
        <w:tc>
          <w:tcPr>
            <w:tcW w:w="1980" w:type="dxa"/>
            <w:vAlign w:val="bottom"/>
          </w:tcPr>
          <w:p>
            <w:pPr>
              <w:spacing w:after="0"/>
              <w:rPr>
                <w:sz w:val="18"/>
                <w:szCs w:val="18"/>
                <w:color w:val="auto"/>
              </w:rPr>
            </w:pPr>
          </w:p>
        </w:tc>
        <w:tc>
          <w:tcPr>
            <w:tcW w:w="482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Waltham, MA02451</w:t>
            </w:r>
          </w:p>
        </w:tc>
        <w:tc>
          <w:tcPr>
            <w:tcW w:w="1580" w:type="dxa"/>
            <w:vAlign w:val="bottom"/>
          </w:tcPr>
          <w:p>
            <w:pPr>
              <w:spacing w:after="0"/>
              <w:rPr>
                <w:sz w:val="18"/>
                <w:szCs w:val="18"/>
                <w:color w:val="auto"/>
              </w:rPr>
            </w:pPr>
          </w:p>
        </w:tc>
      </w:tr>
      <w:tr>
        <w:trPr>
          <w:trHeight w:val="190"/>
        </w:trPr>
        <w:tc>
          <w:tcPr>
            <w:tcW w:w="1980" w:type="dxa"/>
            <w:vAlign w:val="bottom"/>
          </w:tcPr>
          <w:p>
            <w:pPr>
              <w:spacing w:after="0"/>
              <w:rPr>
                <w:sz w:val="16"/>
                <w:szCs w:val="16"/>
                <w:color w:val="auto"/>
              </w:rPr>
            </w:pPr>
          </w:p>
        </w:tc>
        <w:tc>
          <w:tcPr>
            <w:tcW w:w="482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580" w:type="dxa"/>
            <w:vAlign w:val="bottom"/>
          </w:tcPr>
          <w:p>
            <w:pPr>
              <w:spacing w:after="0"/>
              <w:rPr>
                <w:sz w:val="16"/>
                <w:szCs w:val="16"/>
                <w:color w:val="auto"/>
              </w:rPr>
            </w:pPr>
          </w:p>
        </w:tc>
      </w:tr>
      <w:tr>
        <w:trPr>
          <w:trHeight w:val="350"/>
        </w:trPr>
        <w:tc>
          <w:tcPr>
            <w:tcW w:w="1980" w:type="dxa"/>
            <w:vAlign w:val="bottom"/>
          </w:tcPr>
          <w:p>
            <w:pPr>
              <w:spacing w:after="0"/>
              <w:rPr>
                <w:sz w:val="24"/>
                <w:szCs w:val="24"/>
                <w:color w:val="auto"/>
              </w:rPr>
            </w:pPr>
          </w:p>
        </w:tc>
        <w:tc>
          <w:tcPr>
            <w:tcW w:w="482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w w:val="99"/>
              </w:rPr>
              <w:t>617-819-2020</w:t>
            </w:r>
          </w:p>
        </w:tc>
        <w:tc>
          <w:tcPr>
            <w:tcW w:w="1580" w:type="dxa"/>
            <w:vAlign w:val="bottom"/>
          </w:tcPr>
          <w:p>
            <w:pPr>
              <w:spacing w:after="0"/>
              <w:rPr>
                <w:sz w:val="24"/>
                <w:szCs w:val="24"/>
                <w:color w:val="auto"/>
              </w:rPr>
            </w:pPr>
          </w:p>
        </w:tc>
      </w:tr>
      <w:tr>
        <w:trPr>
          <w:trHeight w:val="190"/>
        </w:trPr>
        <w:tc>
          <w:tcPr>
            <w:tcW w:w="1980" w:type="dxa"/>
            <w:vAlign w:val="bottom"/>
          </w:tcPr>
          <w:p>
            <w:pPr>
              <w:spacing w:after="0"/>
              <w:rPr>
                <w:sz w:val="16"/>
                <w:szCs w:val="16"/>
                <w:color w:val="auto"/>
              </w:rPr>
            </w:pPr>
          </w:p>
        </w:tc>
        <w:tc>
          <w:tcPr>
            <w:tcW w:w="482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580" w:type="dxa"/>
            <w:vAlign w:val="bottom"/>
          </w:tcPr>
          <w:p>
            <w:pPr>
              <w:spacing w:after="0"/>
              <w:rPr>
                <w:sz w:val="16"/>
                <w:szCs w:val="16"/>
                <w:color w:val="auto"/>
              </w:rPr>
            </w:pPr>
          </w:p>
        </w:tc>
      </w:tr>
      <w:tr>
        <w:trPr>
          <w:trHeight w:val="336"/>
        </w:trPr>
        <w:tc>
          <w:tcPr>
            <w:tcW w:w="1980" w:type="dxa"/>
            <w:vAlign w:val="bottom"/>
          </w:tcPr>
          <w:p>
            <w:pPr>
              <w:spacing w:after="0"/>
              <w:rPr>
                <w:sz w:val="24"/>
                <w:szCs w:val="24"/>
                <w:color w:val="auto"/>
              </w:rPr>
            </w:pPr>
          </w:p>
        </w:tc>
        <w:tc>
          <w:tcPr>
            <w:tcW w:w="482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580" w:type="dxa"/>
            <w:vAlign w:val="bottom"/>
          </w:tcPr>
          <w:p>
            <w:pPr>
              <w:spacing w:after="0"/>
              <w:rPr>
                <w:sz w:val="24"/>
                <w:szCs w:val="24"/>
                <w:color w:val="auto"/>
              </w:rPr>
            </w:pPr>
          </w:p>
        </w:tc>
      </w:tr>
      <w:tr>
        <w:trPr>
          <w:trHeight w:val="190"/>
        </w:trPr>
        <w:tc>
          <w:tcPr>
            <w:tcW w:w="1980" w:type="dxa"/>
            <w:vAlign w:val="bottom"/>
          </w:tcPr>
          <w:p>
            <w:pPr>
              <w:spacing w:after="0"/>
              <w:rPr>
                <w:sz w:val="16"/>
                <w:szCs w:val="16"/>
                <w:color w:val="auto"/>
              </w:rPr>
            </w:pPr>
          </w:p>
        </w:tc>
        <w:tc>
          <w:tcPr>
            <w:tcW w:w="482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580" w:type="dxa"/>
            <w:vAlign w:val="bottom"/>
          </w:tcPr>
          <w:p>
            <w:pPr>
              <w:spacing w:after="0"/>
              <w:rPr>
                <w:sz w:val="16"/>
                <w:szCs w:val="16"/>
                <w:color w:val="auto"/>
              </w:rPr>
            </w:pPr>
          </w:p>
        </w:tc>
      </w:tr>
    </w:tbl>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10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65"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4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190"/>
        </w:trPr>
        <w:tc>
          <w:tcPr>
            <w:tcW w:w="42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37"/>
        </w:trPr>
        <w:tc>
          <w:tcPr>
            <w:tcW w:w="4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940" w:type="dxa"/>
            <w:vAlign w:val="bottom"/>
            <w:tcBorders>
              <w:bottom w:val="single" w:sz="8" w:color="auto"/>
            </w:tcBorders>
          </w:tcPr>
          <w:p>
            <w:pPr>
              <w:spacing w:after="0"/>
              <w:rPr>
                <w:sz w:val="3"/>
                <w:szCs w:val="3"/>
                <w:color w:val="auto"/>
              </w:rPr>
            </w:pPr>
          </w:p>
        </w:tc>
      </w:tr>
      <w:tr>
        <w:trPr>
          <w:trHeight w:val="236"/>
        </w:trPr>
        <w:tc>
          <w:tcPr>
            <w:tcW w:w="42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3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SION</w:t>
            </w: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r>
    </w:tbl>
    <w:p>
      <w:pPr>
        <w:spacing w:after="0" w:line="171"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117"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744220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On May 12, 2026, Sionna Therapeutics, Inc. issued a press release announcing its financial results and business highlights for the three months ended March 31, 2026. The full text of the press release is furnished as Exhibit 99.1 to this Current Report on Form 8-K.</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set forth under this Item 2.02 and in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or the Exchange Act, except as expressly set forth by specific reference in such filing.</w:t>
      </w:r>
    </w:p>
    <w:p>
      <w:pPr>
        <w:spacing w:after="0" w:line="28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9" w:lineRule="exact"/>
        <w:rPr>
          <w:sz w:val="20"/>
          <w:szCs w:val="20"/>
          <w:color w:val="auto"/>
        </w:rPr>
      </w:pPr>
    </w:p>
    <w:p>
      <w:pPr>
        <w:ind w:left="20"/>
        <w:spacing w:after="0"/>
        <w:tabs>
          <w:tab w:leader="none" w:pos="5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of Sionna Therapeutics, Inc. dated May 12, 2026.</w:t>
      </w:r>
    </w:p>
    <w:p>
      <w:pPr>
        <w:spacing w:after="0" w:line="117" w:lineRule="exact"/>
        <w:rPr>
          <w:sz w:val="20"/>
          <w:szCs w:val="20"/>
          <w:color w:val="auto"/>
        </w:rPr>
      </w:pPr>
    </w:p>
    <w:p>
      <w:pPr>
        <w:ind w:left="20"/>
        <w:spacing w:after="0"/>
        <w:tabs>
          <w:tab w:leader="none" w:pos="540" w:val="left"/>
        </w:tabs>
        <w:rPr>
          <w:sz w:val="20"/>
          <w:szCs w:val="20"/>
          <w:color w:val="auto"/>
        </w:rPr>
      </w:pPr>
      <w:r>
        <w:rPr>
          <w:rFonts w:ascii="Times New Roman" w:cs="Times New Roman" w:eastAsia="Times New Roman" w:hAnsi="Times New Roman"/>
          <w:sz w:val="18"/>
          <w:szCs w:val="18"/>
          <w:color w:val="auto"/>
        </w:rPr>
        <w:t>104</w:t>
        <w:tab/>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664845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Sionna Therapeutics, Inc.</w:t>
            </w:r>
          </w:p>
        </w:tc>
        <w:tc>
          <w:tcPr>
            <w:tcW w:w="0" w:type="dxa"/>
            <w:vAlign w:val="bottom"/>
          </w:tcPr>
          <w:p>
            <w:pPr>
              <w:spacing w:after="0"/>
              <w:rPr>
                <w:sz w:val="1"/>
                <w:szCs w:val="1"/>
                <w:color w:val="auto"/>
              </w:rPr>
            </w:pPr>
          </w:p>
        </w:tc>
      </w:tr>
      <w:tr>
        <w:trPr>
          <w:trHeight w:val="473"/>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2026</w:t>
            </w:r>
          </w:p>
        </w:tc>
        <w:tc>
          <w:tcPr>
            <w:tcW w:w="26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Jennifer Fitzpatrick</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620" w:type="dxa"/>
            <w:vAlign w:val="bottom"/>
            <w:vMerge w:val="restart"/>
          </w:tcPr>
          <w:p>
            <w:pPr>
              <w:ind w:left="1900"/>
              <w:spacing w:after="0"/>
              <w:rPr>
                <w:sz w:val="20"/>
                <w:szCs w:val="20"/>
                <w:color w:val="auto"/>
              </w:rPr>
            </w:pPr>
            <w:r>
              <w:rPr>
                <w:rFonts w:ascii="Times New Roman" w:cs="Times New Roman" w:eastAsia="Times New Roman" w:hAnsi="Times New Roman"/>
                <w:sz w:val="18"/>
                <w:szCs w:val="18"/>
                <w:color w:val="auto"/>
              </w:rPr>
              <w:t>Name:</w:t>
            </w:r>
          </w:p>
        </w:tc>
        <w:tc>
          <w:tcPr>
            <w:tcW w:w="5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2620" w:type="dxa"/>
            <w:vAlign w:val="bottom"/>
            <w:vMerge w:val="continue"/>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Jennifer Fitzpatrick</w:t>
            </w: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3"/>
                <w:szCs w:val="23"/>
                <w:color w:val="auto"/>
              </w:rPr>
            </w:pPr>
          </w:p>
        </w:tc>
        <w:tc>
          <w:tcPr>
            <w:tcW w:w="26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Title:</w:t>
            </w: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43" w:right="339" w:bottom="1440" w:gutter="0" w:footer="0" w:header="0"/>
        </w:sectPr>
      </w:pPr>
    </w:p>
    <w:bookmarkStart w:id="3" w:name="page4"/>
    <w:bookmarkEnd w:id="3"/>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Sionna Therapeutics Reports First Quarter 2026 Financial Results</w:t>
      </w:r>
    </w:p>
    <w:p>
      <w:pPr>
        <w:spacing w:after="0" w:line="245" w:lineRule="exact"/>
        <w:rPr>
          <w:sz w:val="20"/>
          <w:szCs w:val="20"/>
          <w:color w:val="auto"/>
        </w:rPr>
      </w:pPr>
    </w:p>
    <w:p>
      <w:pPr>
        <w:jc w:val="center"/>
        <w:spacing w:after="0" w:line="286" w:lineRule="auto"/>
        <w:rPr>
          <w:sz w:val="20"/>
          <w:szCs w:val="20"/>
          <w:color w:val="auto"/>
        </w:rPr>
      </w:pPr>
      <w:r>
        <w:rPr>
          <w:rFonts w:ascii="Arial" w:cs="Arial" w:eastAsia="Arial" w:hAnsi="Arial"/>
          <w:sz w:val="20"/>
          <w:szCs w:val="20"/>
          <w:i w:val="1"/>
          <w:iCs w:val="1"/>
          <w:color w:val="auto"/>
        </w:rPr>
        <w:t>Enrollment completed in the PreciSION CF Phase 2a proof-of-concept trial evaluating NBD1 stabilizer SION-719 as an add-on to standard of care in participants with cystic fibrosis; topline data on track for the summer of 2026</w:t>
      </w:r>
    </w:p>
    <w:p>
      <w:pPr>
        <w:spacing w:after="0" w:line="167" w:lineRule="exact"/>
        <w:rPr>
          <w:sz w:val="20"/>
          <w:szCs w:val="20"/>
          <w:color w:val="auto"/>
        </w:rPr>
      </w:pPr>
    </w:p>
    <w:p>
      <w:pPr>
        <w:jc w:val="center"/>
        <w:spacing w:after="0" w:line="286" w:lineRule="auto"/>
        <w:rPr>
          <w:sz w:val="20"/>
          <w:szCs w:val="20"/>
          <w:color w:val="auto"/>
        </w:rPr>
      </w:pPr>
      <w:r>
        <w:rPr>
          <w:rFonts w:ascii="Arial" w:cs="Arial" w:eastAsia="Arial" w:hAnsi="Arial"/>
          <w:sz w:val="20"/>
          <w:szCs w:val="20"/>
          <w:i w:val="1"/>
          <w:iCs w:val="1"/>
          <w:color w:val="auto"/>
        </w:rPr>
        <w:t>Ongoing Phase 1 trial evaluating NBD1 stabilizer SION-451 in proprietary dual combinations with SION-2222 and with SION-109 in healthy volunteers is also on track for topline data in the summer of 2026</w:t>
      </w:r>
    </w:p>
    <w:p>
      <w:pPr>
        <w:spacing w:after="0" w:line="181" w:lineRule="exact"/>
        <w:rPr>
          <w:sz w:val="20"/>
          <w:szCs w:val="20"/>
          <w:color w:val="auto"/>
        </w:rPr>
      </w:pPr>
    </w:p>
    <w:p>
      <w:pPr>
        <w:jc w:val="center"/>
        <w:ind w:left="340" w:right="160"/>
        <w:spacing w:after="0" w:line="271" w:lineRule="auto"/>
        <w:rPr>
          <w:sz w:val="20"/>
          <w:szCs w:val="20"/>
          <w:color w:val="auto"/>
        </w:rPr>
      </w:pPr>
      <w:r>
        <w:rPr>
          <w:rFonts w:ascii="Arial" w:cs="Arial" w:eastAsia="Arial" w:hAnsi="Arial"/>
          <w:sz w:val="20"/>
          <w:szCs w:val="20"/>
          <w:i w:val="1"/>
          <w:iCs w:val="1"/>
          <w:color w:val="auto"/>
        </w:rPr>
        <w:t>Maintained strong cash position with approximately $289.9 million in cash and cash equivalents, expected to fund operations into 2028</w:t>
      </w:r>
    </w:p>
    <w:p>
      <w:pPr>
        <w:spacing w:after="0" w:line="194" w:lineRule="exact"/>
        <w:rPr>
          <w:sz w:val="20"/>
          <w:szCs w:val="20"/>
          <w:color w:val="auto"/>
        </w:rPr>
      </w:pPr>
    </w:p>
    <w:p>
      <w:pPr>
        <w:ind w:right="140"/>
        <w:spacing w:after="0" w:line="263" w:lineRule="auto"/>
        <w:rPr>
          <w:sz w:val="20"/>
          <w:szCs w:val="20"/>
          <w:color w:val="auto"/>
        </w:rPr>
      </w:pPr>
      <w:r>
        <w:rPr>
          <w:rFonts w:ascii="Arial" w:cs="Arial" w:eastAsia="Arial" w:hAnsi="Arial"/>
          <w:sz w:val="20"/>
          <w:szCs w:val="20"/>
          <w:b w:val="1"/>
          <w:bCs w:val="1"/>
          <w:color w:val="auto"/>
        </w:rPr>
        <w:t xml:space="preserve">WALTHAM, Mass., May 12, 2026 (GLOBE NEWSWIRE) </w:t>
      </w:r>
      <w:r>
        <w:rPr>
          <w:rFonts w:ascii="Arial" w:cs="Arial" w:eastAsia="Arial" w:hAnsi="Arial"/>
          <w:sz w:val="20"/>
          <w:szCs w:val="20"/>
          <w:color w:val="auto"/>
        </w:rPr>
        <w:t>– Sionna Therapeutics, Inc. (Nasdaq: SION), a clinical-stage</w:t>
      </w:r>
      <w:r>
        <w:rPr>
          <w:rFonts w:ascii="Arial" w:cs="Arial" w:eastAsia="Arial" w:hAnsi="Arial"/>
          <w:sz w:val="20"/>
          <w:szCs w:val="20"/>
          <w:b w:val="1"/>
          <w:bCs w:val="1"/>
          <w:color w:val="auto"/>
        </w:rPr>
        <w:t xml:space="preserve"> </w:t>
      </w:r>
      <w:r>
        <w:rPr>
          <w:rFonts w:ascii="Arial" w:cs="Arial" w:eastAsia="Arial" w:hAnsi="Arial"/>
          <w:sz w:val="20"/>
          <w:szCs w:val="20"/>
          <w:color w:val="auto"/>
        </w:rPr>
        <w:t>biopharmaceutical company on a mission to revolutionize the current treatment paradigm for cystic fibrosis (CF) today reported financial results for the first quarter ended March 31, 2026, and provided a business update.</w:t>
      </w:r>
    </w:p>
    <w:p>
      <w:pPr>
        <w:spacing w:after="0" w:line="204"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“We entered 2026 with strong execution across our programs, highlighted by the recent completion of enrollment in our proof-of-concept Phase 2a trial of SION-719, an important milestone for Sionna,” said Mike Cloonan, President and Chief Executive</w:t>
      </w:r>
    </w:p>
    <w:p>
      <w:pPr>
        <w:spacing w:after="0" w:line="1" w:lineRule="exact"/>
        <w:rPr>
          <w:sz w:val="20"/>
          <w:szCs w:val="20"/>
          <w:color w:val="auto"/>
        </w:rPr>
      </w:pPr>
    </w:p>
    <w:p>
      <w:pPr>
        <w:ind w:right="40"/>
        <w:spacing w:after="0" w:line="298" w:lineRule="auto"/>
        <w:rPr>
          <w:sz w:val="20"/>
          <w:szCs w:val="20"/>
          <w:color w:val="auto"/>
        </w:rPr>
      </w:pPr>
      <w:r>
        <w:rPr>
          <w:rFonts w:ascii="Arial" w:cs="Arial" w:eastAsia="Arial" w:hAnsi="Arial"/>
          <w:sz w:val="19"/>
          <w:szCs w:val="19"/>
          <w:color w:val="auto"/>
        </w:rPr>
        <w:t>Officer of Sionna. “With both of our clinical stage NBD1 stabilizer programs on track for topline readouts this summer, we remain focused on advancing these first-in-class product candidates that could expand therapeutic options for people with CF.”</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Pipeline Updates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NBD1 Stabilizers</w:t>
      </w:r>
    </w:p>
    <w:p>
      <w:pPr>
        <w:spacing w:after="0" w:line="241" w:lineRule="exact"/>
        <w:rPr>
          <w:sz w:val="20"/>
          <w:szCs w:val="20"/>
          <w:color w:val="auto"/>
        </w:rPr>
      </w:pPr>
    </w:p>
    <w:p>
      <w:pPr>
        <w:ind w:left="660" w:hanging="328"/>
        <w:spacing w:after="0" w:line="265" w:lineRule="auto"/>
        <w:tabs>
          <w:tab w:leader="none" w:pos="648" w:val="left"/>
        </w:tabs>
        <w:numPr>
          <w:ilvl w:val="0"/>
          <w:numId w:val="2"/>
        </w:numPr>
        <w:rPr>
          <w:rFonts w:ascii="Times New Roman" w:cs="Times New Roman" w:eastAsia="Times New Roman" w:hAnsi="Times New Roman"/>
          <w:sz w:val="19"/>
          <w:szCs w:val="19"/>
          <w:color w:val="auto"/>
        </w:rPr>
      </w:pPr>
      <w:r>
        <w:rPr>
          <w:rFonts w:ascii="Arial" w:cs="Arial" w:eastAsia="Arial" w:hAnsi="Arial"/>
          <w:sz w:val="19"/>
          <w:szCs w:val="19"/>
          <w:b w:val="1"/>
          <w:bCs w:val="1"/>
          <w:color w:val="auto"/>
        </w:rPr>
        <w:t xml:space="preserve">Enrollment Completed in PreciSION CF Phase 2a Proof-of-Concept Trial with SION-719; Topline Data On Track: </w:t>
      </w:r>
      <w:r>
        <w:rPr>
          <w:rFonts w:ascii="Arial" w:cs="Arial" w:eastAsia="Arial" w:hAnsi="Arial"/>
          <w:sz w:val="19"/>
          <w:szCs w:val="19"/>
          <w:color w:val="auto"/>
        </w:rPr>
        <w:t xml:space="preserve">In April 2026, </w:t>
      </w:r>
      <w:r>
        <w:rPr>
          <w:rFonts w:ascii="Arial" w:cs="Arial" w:eastAsia="Arial" w:hAnsi="Arial"/>
          <w:sz w:val="19"/>
          <w:szCs w:val="19"/>
          <w:color w:val="467886"/>
        </w:rPr>
        <w:t>Sionna announced</w:t>
      </w:r>
      <w:r>
        <w:rPr>
          <w:rFonts w:ascii="Arial" w:cs="Arial" w:eastAsia="Arial" w:hAnsi="Arial"/>
          <w:sz w:val="19"/>
          <w:szCs w:val="19"/>
          <w:color w:val="auto"/>
        </w:rPr>
        <w:t xml:space="preserve"> it had completed enrollment in the PreciSION CF Phase 2a proof-of-concept (POC) trial (</w:t>
      </w:r>
      <w:r>
        <w:rPr>
          <w:rFonts w:ascii="Arial" w:cs="Arial" w:eastAsia="Arial" w:hAnsi="Arial"/>
          <w:sz w:val="19"/>
          <w:szCs w:val="19"/>
          <w:color w:val="467886"/>
        </w:rPr>
        <w:t>NCT07108153</w:t>
      </w:r>
      <w:r>
        <w:rPr>
          <w:rFonts w:ascii="Arial" w:cs="Arial" w:eastAsia="Arial" w:hAnsi="Arial"/>
          <w:sz w:val="19"/>
          <w:szCs w:val="19"/>
          <w:color w:val="auto"/>
        </w:rPr>
        <w:t>) evaluating SION-719 as an add-on to standard of care (SOC) in CF patients. The trial is evaluating the safety, tolerability, and pharmacokinetics (PK) of SION-719 when administered with SOC and assessing change in CFTR function as measured by sweat chloride levels. Topline data from this trial are anticipated in the summer of this year.</w:t>
      </w:r>
    </w:p>
    <w:p>
      <w:pPr>
        <w:ind w:left="660" w:hanging="328"/>
        <w:spacing w:after="0" w:line="262" w:lineRule="auto"/>
        <w:tabs>
          <w:tab w:leader="none" w:pos="648" w:val="left"/>
        </w:tabs>
        <w:numPr>
          <w:ilvl w:val="0"/>
          <w:numId w:val="2"/>
        </w:numPr>
        <w:rPr>
          <w:rFonts w:ascii="Times New Roman" w:cs="Times New Roman" w:eastAsia="Times New Roman" w:hAnsi="Times New Roman"/>
          <w:sz w:val="19"/>
          <w:szCs w:val="19"/>
          <w:color w:val="auto"/>
        </w:rPr>
      </w:pPr>
      <w:r>
        <w:rPr>
          <w:rFonts w:ascii="Arial" w:cs="Arial" w:eastAsia="Arial" w:hAnsi="Arial"/>
          <w:sz w:val="19"/>
          <w:szCs w:val="19"/>
          <w:b w:val="1"/>
          <w:bCs w:val="1"/>
          <w:color w:val="auto"/>
        </w:rPr>
        <w:t xml:space="preserve">Ongoing Phase 1 Dual Combination Trial with SION-451 and Complementary Modulators; Topline Data On Track: </w:t>
      </w:r>
      <w:r>
        <w:rPr>
          <w:rFonts w:ascii="Arial" w:cs="Arial" w:eastAsia="Arial" w:hAnsi="Arial"/>
          <w:sz w:val="19"/>
          <w:szCs w:val="19"/>
          <w:color w:val="auto"/>
        </w:rPr>
        <w:t>The Phase 1 trial (</w:t>
      </w:r>
      <w:r>
        <w:rPr>
          <w:rFonts w:ascii="Arial" w:cs="Arial" w:eastAsia="Arial" w:hAnsi="Arial"/>
          <w:sz w:val="19"/>
          <w:szCs w:val="19"/>
          <w:color w:val="467886"/>
        </w:rPr>
        <w:t>NCT07035990</w:t>
      </w:r>
      <w:r>
        <w:rPr>
          <w:rFonts w:ascii="Arial" w:cs="Arial" w:eastAsia="Arial" w:hAnsi="Arial"/>
          <w:sz w:val="19"/>
          <w:szCs w:val="19"/>
          <w:color w:val="auto"/>
        </w:rPr>
        <w:t>) is evaluating SION-451 in proprietary dual combinations with SION-2222 (galicaftor), a transmembrane domain 1 (TMD1)-directed CFTR corrector, and with SION-109, an intracellular loop 4 (ICL4)-directed CFTR corrector, in healthy volunteers. Topline data from this trial are anticipated in the summer of this year.</w:t>
      </w:r>
    </w:p>
    <w:p>
      <w:pPr>
        <w:spacing w:after="0" w:line="3" w:lineRule="exact"/>
        <w:rPr>
          <w:rFonts w:ascii="Times New Roman" w:cs="Times New Roman" w:eastAsia="Times New Roman" w:hAnsi="Times New Roman"/>
          <w:sz w:val="19"/>
          <w:szCs w:val="19"/>
          <w:color w:val="auto"/>
        </w:rPr>
      </w:pPr>
    </w:p>
    <w:p>
      <w:pPr>
        <w:ind w:left="660" w:right="20" w:hanging="328"/>
        <w:spacing w:after="0" w:line="281" w:lineRule="auto"/>
        <w:tabs>
          <w:tab w:leader="none" w:pos="648"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Encore Data to be Presented at 49th European Cystic Fibrosis Conference: </w:t>
      </w:r>
      <w:r>
        <w:rPr>
          <w:rFonts w:ascii="Arial" w:cs="Arial" w:eastAsia="Arial" w:hAnsi="Arial"/>
          <w:sz w:val="20"/>
          <w:szCs w:val="20"/>
          <w:color w:val="auto"/>
        </w:rPr>
        <w:t>Encore data previously presented at</w:t>
      </w:r>
      <w:r>
        <w:rPr>
          <w:rFonts w:ascii="Arial" w:cs="Arial" w:eastAsia="Arial" w:hAnsi="Arial"/>
          <w:sz w:val="20"/>
          <w:szCs w:val="20"/>
          <w:b w:val="1"/>
          <w:bCs w:val="1"/>
          <w:color w:val="auto"/>
        </w:rPr>
        <w:t xml:space="preserve"> </w:t>
      </w:r>
      <w:r>
        <w:rPr>
          <w:rFonts w:ascii="Arial" w:cs="Arial" w:eastAsia="Arial" w:hAnsi="Arial"/>
          <w:sz w:val="20"/>
          <w:szCs w:val="20"/>
          <w:color w:val="auto"/>
        </w:rPr>
        <w:t>the 2025 North American Cystic Fibrosis Conference (NACFC) will be featured in an oral and ePoster presentation at the European Cystic Fibrosis Society’s (ECFS) 49th European Cystic Fibrosis Conference, being held June 3-6, 2026, in Lisbon, Portugal.</w:t>
      </w:r>
    </w:p>
    <w:p>
      <w:pPr>
        <w:sectPr>
          <w:pgSz w:w="11900" w:h="16838" w:orient="portrait"/>
          <w:cols w:equalWidth="0" w:num="1">
            <w:col w:w="11240"/>
          </w:cols>
          <w:pgMar w:left="320" w:top="1440" w:right="339" w:bottom="1440" w:gutter="0" w:footer="0" w:header="0"/>
        </w:sectPr>
      </w:pPr>
    </w:p>
    <w:bookmarkStart w:id="4" w:name="page5"/>
    <w:bookmarkEnd w:id="4"/>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Details of the presentations are as follows:</w:t>
      </w:r>
    </w:p>
    <w:p>
      <w:pPr>
        <w:spacing w:after="0" w:line="241" w:lineRule="exact"/>
        <w:rPr>
          <w:sz w:val="20"/>
          <w:szCs w:val="20"/>
          <w:color w:val="auto"/>
        </w:rPr>
      </w:pPr>
    </w:p>
    <w:p>
      <w:pPr>
        <w:ind w:left="660" w:right="280"/>
        <w:spacing w:after="0" w:line="256" w:lineRule="auto"/>
        <w:rPr>
          <w:sz w:val="20"/>
          <w:szCs w:val="20"/>
          <w:color w:val="auto"/>
        </w:rPr>
      </w:pPr>
      <w:r>
        <w:rPr>
          <w:rFonts w:ascii="Arial" w:cs="Arial" w:eastAsia="Arial" w:hAnsi="Arial"/>
          <w:sz w:val="20"/>
          <w:szCs w:val="20"/>
          <w:b w:val="1"/>
          <w:bCs w:val="1"/>
          <w:color w:val="auto"/>
        </w:rPr>
        <w:t xml:space="preserve">Abstract Title: </w:t>
      </w:r>
      <w:r>
        <w:rPr>
          <w:rFonts w:ascii="Arial" w:cs="Arial" w:eastAsia="Arial" w:hAnsi="Arial"/>
          <w:sz w:val="20"/>
          <w:szCs w:val="20"/>
          <w:color w:val="auto"/>
        </w:rPr>
        <w:t>Safety, tolerability, and pharmacokinetics of novel NBD1 stabilizers SION-719 and SION-451 from two</w:t>
      </w:r>
      <w:r>
        <w:rPr>
          <w:rFonts w:ascii="Arial" w:cs="Arial" w:eastAsia="Arial" w:hAnsi="Arial"/>
          <w:sz w:val="20"/>
          <w:szCs w:val="20"/>
          <w:b w:val="1"/>
          <w:bCs w:val="1"/>
          <w:color w:val="auto"/>
        </w:rPr>
        <w:t xml:space="preserve"> </w:t>
      </w:r>
      <w:r>
        <w:rPr>
          <w:rFonts w:ascii="Arial" w:cs="Arial" w:eastAsia="Arial" w:hAnsi="Arial"/>
          <w:sz w:val="20"/>
          <w:szCs w:val="20"/>
          <w:color w:val="auto"/>
        </w:rPr>
        <w:t>Phase 1 first-in-human studies</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Abstract number: </w:t>
      </w:r>
      <w:r>
        <w:rPr>
          <w:rFonts w:ascii="Arial" w:cs="Arial" w:eastAsia="Arial" w:hAnsi="Arial"/>
          <w:sz w:val="20"/>
          <w:szCs w:val="20"/>
          <w:color w:val="auto"/>
        </w:rPr>
        <w:t>EPS07.01</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Presenting Author: </w:t>
      </w:r>
      <w:r>
        <w:rPr>
          <w:rFonts w:ascii="Arial" w:cs="Arial" w:eastAsia="Arial" w:hAnsi="Arial"/>
          <w:sz w:val="20"/>
          <w:szCs w:val="20"/>
          <w:color w:val="auto"/>
        </w:rPr>
        <w:t>Jason H. Maley, MD, MS, Senior Director, Clinical Development, Sionna Therapeutics</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Oral ePoster Session Title: </w:t>
      </w:r>
      <w:r>
        <w:rPr>
          <w:rFonts w:ascii="Arial" w:cs="Arial" w:eastAsia="Arial" w:hAnsi="Arial"/>
          <w:sz w:val="20"/>
          <w:szCs w:val="20"/>
          <w:color w:val="auto"/>
        </w:rPr>
        <w:t>Old and new – exploring the portfolio for CF treatment</w:t>
      </w:r>
    </w:p>
    <w:p>
      <w:pPr>
        <w:ind w:left="660"/>
        <w:spacing w:after="0"/>
        <w:rPr>
          <w:sz w:val="20"/>
          <w:szCs w:val="20"/>
          <w:color w:val="auto"/>
        </w:rPr>
      </w:pPr>
      <w:r>
        <w:rPr>
          <w:rFonts w:ascii="Arial" w:cs="Arial" w:eastAsia="Arial" w:hAnsi="Arial"/>
          <w:sz w:val="20"/>
          <w:szCs w:val="20"/>
          <w:b w:val="1"/>
          <w:bCs w:val="1"/>
          <w:color w:val="auto"/>
        </w:rPr>
        <w:t xml:space="preserve">Date and Time: </w:t>
      </w:r>
      <w:r>
        <w:rPr>
          <w:rFonts w:ascii="Arial" w:cs="Arial" w:eastAsia="Arial" w:hAnsi="Arial"/>
          <w:sz w:val="20"/>
          <w:szCs w:val="20"/>
          <w:color w:val="auto"/>
        </w:rPr>
        <w:t>Friday, June 5, 2026, 2:00-2:06 p.m. CEST/9:00-9:06 a.m. ET</w:t>
      </w:r>
    </w:p>
    <w:p>
      <w:pPr>
        <w:spacing w:after="0" w:line="371" w:lineRule="exact"/>
        <w:rPr>
          <w:sz w:val="20"/>
          <w:szCs w:val="20"/>
          <w:color w:val="auto"/>
        </w:rPr>
      </w:pPr>
    </w:p>
    <w:p>
      <w:pPr>
        <w:ind w:left="660" w:right="440"/>
        <w:spacing w:after="0" w:line="264" w:lineRule="auto"/>
        <w:rPr>
          <w:sz w:val="20"/>
          <w:szCs w:val="20"/>
          <w:color w:val="auto"/>
        </w:rPr>
      </w:pPr>
      <w:r>
        <w:rPr>
          <w:rFonts w:ascii="Arial" w:cs="Arial" w:eastAsia="Arial" w:hAnsi="Arial"/>
          <w:sz w:val="20"/>
          <w:szCs w:val="20"/>
          <w:b w:val="1"/>
          <w:bCs w:val="1"/>
          <w:color w:val="auto"/>
        </w:rPr>
        <w:t xml:space="preserve">Abstract Title: </w:t>
      </w:r>
      <w:r>
        <w:rPr>
          <w:rFonts w:ascii="Arial" w:cs="Arial" w:eastAsia="Arial" w:hAnsi="Arial"/>
          <w:sz w:val="20"/>
          <w:szCs w:val="20"/>
          <w:color w:val="auto"/>
        </w:rPr>
        <w:t>Clinical-stage NBD1 stabilizers can increase F508del-CFTR protein half-life to wild-type levels when</w:t>
      </w:r>
      <w:r>
        <w:rPr>
          <w:rFonts w:ascii="Arial" w:cs="Arial" w:eastAsia="Arial" w:hAnsi="Arial"/>
          <w:sz w:val="20"/>
          <w:szCs w:val="20"/>
          <w:b w:val="1"/>
          <w:bCs w:val="1"/>
          <w:color w:val="auto"/>
        </w:rPr>
        <w:t xml:space="preserve"> </w:t>
      </w:r>
      <w:r>
        <w:rPr>
          <w:rFonts w:ascii="Arial" w:cs="Arial" w:eastAsia="Arial" w:hAnsi="Arial"/>
          <w:sz w:val="20"/>
          <w:szCs w:val="20"/>
          <w:color w:val="auto"/>
        </w:rPr>
        <w:t>used alone or in combination with other CFTR modulators</w:t>
      </w:r>
    </w:p>
    <w:p>
      <w:pPr>
        <w:ind w:left="660"/>
        <w:spacing w:after="0"/>
        <w:rPr>
          <w:sz w:val="20"/>
          <w:szCs w:val="20"/>
          <w:color w:val="auto"/>
        </w:rPr>
      </w:pPr>
      <w:r>
        <w:rPr>
          <w:rFonts w:ascii="Arial" w:cs="Arial" w:eastAsia="Arial" w:hAnsi="Arial"/>
          <w:sz w:val="20"/>
          <w:szCs w:val="20"/>
          <w:b w:val="1"/>
          <w:bCs w:val="1"/>
          <w:color w:val="auto"/>
        </w:rPr>
        <w:t xml:space="preserve">Abstract ID: </w:t>
      </w:r>
      <w:r>
        <w:rPr>
          <w:rFonts w:ascii="Arial" w:cs="Arial" w:eastAsia="Arial" w:hAnsi="Arial"/>
          <w:sz w:val="20"/>
          <w:szCs w:val="20"/>
          <w:color w:val="auto"/>
        </w:rPr>
        <w:t>WS15.3</w:t>
      </w:r>
    </w:p>
    <w:p>
      <w:pPr>
        <w:ind w:left="660" w:right="860"/>
        <w:spacing w:after="0" w:line="246" w:lineRule="auto"/>
        <w:rPr>
          <w:sz w:val="20"/>
          <w:szCs w:val="20"/>
          <w:color w:val="auto"/>
        </w:rPr>
      </w:pPr>
      <w:r>
        <w:rPr>
          <w:rFonts w:ascii="Arial" w:cs="Arial" w:eastAsia="Arial" w:hAnsi="Arial"/>
          <w:sz w:val="20"/>
          <w:szCs w:val="20"/>
          <w:b w:val="1"/>
          <w:bCs w:val="1"/>
          <w:color w:val="auto"/>
        </w:rPr>
        <w:t xml:space="preserve">Presenting Author: </w:t>
      </w:r>
      <w:r>
        <w:rPr>
          <w:rFonts w:ascii="Arial" w:cs="Arial" w:eastAsia="Arial" w:hAnsi="Arial"/>
          <w:sz w:val="20"/>
          <w:szCs w:val="20"/>
          <w:color w:val="auto"/>
        </w:rPr>
        <w:t>Greg Hurlbut, Ph.D., Co-Founder and Senior Vice President, Discovery Research, Sionna</w:t>
      </w:r>
      <w:r>
        <w:rPr>
          <w:rFonts w:ascii="Arial" w:cs="Arial" w:eastAsia="Arial" w:hAnsi="Arial"/>
          <w:sz w:val="20"/>
          <w:szCs w:val="20"/>
          <w:b w:val="1"/>
          <w:bCs w:val="1"/>
          <w:color w:val="auto"/>
        </w:rPr>
        <w:t xml:space="preserve"> </w:t>
      </w:r>
      <w:r>
        <w:rPr>
          <w:rFonts w:ascii="Arial" w:cs="Arial" w:eastAsia="Arial" w:hAnsi="Arial"/>
          <w:sz w:val="20"/>
          <w:szCs w:val="20"/>
          <w:color w:val="auto"/>
        </w:rPr>
        <w:t>Therapeutics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Session Title: </w:t>
      </w:r>
      <w:r>
        <w:rPr>
          <w:rFonts w:ascii="Arial" w:cs="Arial" w:eastAsia="Arial" w:hAnsi="Arial"/>
          <w:sz w:val="20"/>
          <w:szCs w:val="20"/>
          <w:color w:val="auto"/>
        </w:rPr>
        <w:t>Workshop 15: Novel approaches, future therapies</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Date and Time: </w:t>
      </w:r>
      <w:r>
        <w:rPr>
          <w:rFonts w:ascii="Arial" w:cs="Arial" w:eastAsia="Arial" w:hAnsi="Arial"/>
          <w:sz w:val="20"/>
          <w:szCs w:val="20"/>
          <w:color w:val="auto"/>
        </w:rPr>
        <w:t>Friday, June 5, 2026, 5:30-5:45 p.m. CEST/11:30-11:45 a.m. ET</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Financial Results for the Quarter Ended March 31, 2026</w:t>
      </w:r>
    </w:p>
    <w:p>
      <w:pPr>
        <w:spacing w:after="0" w:line="241" w:lineRule="exact"/>
        <w:rPr>
          <w:sz w:val="20"/>
          <w:szCs w:val="20"/>
          <w:color w:val="auto"/>
        </w:rPr>
      </w:pPr>
    </w:p>
    <w:p>
      <w:pPr>
        <w:spacing w:after="0" w:line="260" w:lineRule="auto"/>
        <w:rPr>
          <w:sz w:val="20"/>
          <w:szCs w:val="20"/>
          <w:color w:val="auto"/>
        </w:rPr>
      </w:pPr>
      <w:r>
        <w:rPr>
          <w:rFonts w:ascii="Arial" w:cs="Arial" w:eastAsia="Arial" w:hAnsi="Arial"/>
          <w:sz w:val="20"/>
          <w:szCs w:val="20"/>
          <w:b w:val="1"/>
          <w:bCs w:val="1"/>
          <w:color w:val="auto"/>
        </w:rPr>
        <w:t xml:space="preserve">Research and Development Expenses: </w:t>
      </w:r>
      <w:r>
        <w:rPr>
          <w:rFonts w:ascii="Arial" w:cs="Arial" w:eastAsia="Arial" w:hAnsi="Arial"/>
          <w:sz w:val="20"/>
          <w:szCs w:val="20"/>
          <w:color w:val="auto"/>
        </w:rPr>
        <w:t>Research and development expenses were $19.0 million for the first quarter of 2026,</w:t>
      </w:r>
      <w:r>
        <w:rPr>
          <w:rFonts w:ascii="Arial" w:cs="Arial" w:eastAsia="Arial" w:hAnsi="Arial"/>
          <w:sz w:val="20"/>
          <w:szCs w:val="20"/>
          <w:b w:val="1"/>
          <w:bCs w:val="1"/>
          <w:color w:val="auto"/>
        </w:rPr>
        <w:t xml:space="preserve"> </w:t>
      </w:r>
      <w:r>
        <w:rPr>
          <w:rFonts w:ascii="Arial" w:cs="Arial" w:eastAsia="Arial" w:hAnsi="Arial"/>
          <w:sz w:val="20"/>
          <w:szCs w:val="20"/>
          <w:color w:val="auto"/>
        </w:rPr>
        <w:t>compared to $13.7 million for the first quarter of 2025. These increases were mainly driven by development expenses to support the advancement of Sionna’s clinical pipeline and personnel-related costs, including stock-based compensation expenses, to support the Company’s continued growth and operational activities.</w:t>
      </w:r>
    </w:p>
    <w:p>
      <w:pPr>
        <w:spacing w:after="0" w:line="205" w:lineRule="exact"/>
        <w:rPr>
          <w:sz w:val="20"/>
          <w:szCs w:val="20"/>
          <w:color w:val="auto"/>
        </w:rPr>
      </w:pPr>
    </w:p>
    <w:p>
      <w:pPr>
        <w:jc w:val="both"/>
        <w:ind w:right="180"/>
        <w:spacing w:after="0" w:line="263" w:lineRule="auto"/>
        <w:rPr>
          <w:sz w:val="20"/>
          <w:szCs w:val="20"/>
          <w:color w:val="auto"/>
        </w:rPr>
      </w:pPr>
      <w:r>
        <w:rPr>
          <w:rFonts w:ascii="Arial" w:cs="Arial" w:eastAsia="Arial" w:hAnsi="Arial"/>
          <w:sz w:val="20"/>
          <w:szCs w:val="20"/>
          <w:b w:val="1"/>
          <w:bCs w:val="1"/>
          <w:color w:val="auto"/>
        </w:rPr>
        <w:t xml:space="preserve">General and Administrative Expenses: </w:t>
      </w:r>
      <w:r>
        <w:rPr>
          <w:rFonts w:ascii="Arial" w:cs="Arial" w:eastAsia="Arial" w:hAnsi="Arial"/>
          <w:sz w:val="20"/>
          <w:szCs w:val="20"/>
          <w:color w:val="auto"/>
        </w:rPr>
        <w:t>General and administrative expenses were $10.6 million for the first quarter of 2026,</w:t>
      </w:r>
      <w:r>
        <w:rPr>
          <w:rFonts w:ascii="Arial" w:cs="Arial" w:eastAsia="Arial" w:hAnsi="Arial"/>
          <w:sz w:val="20"/>
          <w:szCs w:val="20"/>
          <w:b w:val="1"/>
          <w:bCs w:val="1"/>
          <w:color w:val="auto"/>
        </w:rPr>
        <w:t xml:space="preserve"> </w:t>
      </w:r>
      <w:r>
        <w:rPr>
          <w:rFonts w:ascii="Arial" w:cs="Arial" w:eastAsia="Arial" w:hAnsi="Arial"/>
          <w:sz w:val="20"/>
          <w:szCs w:val="20"/>
          <w:color w:val="auto"/>
        </w:rPr>
        <w:t>compared to $6.0 million for the first quarter of 2025. These increases were primarily due to personnel-related costs, including stock-based compensation expenses, to support the Company’s continued growth and operational activities.</w:t>
      </w:r>
    </w:p>
    <w:p>
      <w:pPr>
        <w:spacing w:after="0" w:line="189" w:lineRule="exact"/>
        <w:rPr>
          <w:sz w:val="20"/>
          <w:szCs w:val="20"/>
          <w:color w:val="auto"/>
        </w:rPr>
      </w:pPr>
    </w:p>
    <w:p>
      <w:pPr>
        <w:jc w:val="both"/>
        <w:ind w:right="200"/>
        <w:spacing w:after="0" w:line="288" w:lineRule="auto"/>
        <w:rPr>
          <w:sz w:val="20"/>
          <w:szCs w:val="20"/>
          <w:color w:val="auto"/>
        </w:rPr>
      </w:pPr>
      <w:r>
        <w:rPr>
          <w:rFonts w:ascii="Arial" w:cs="Arial" w:eastAsia="Arial" w:hAnsi="Arial"/>
          <w:sz w:val="20"/>
          <w:szCs w:val="20"/>
          <w:b w:val="1"/>
          <w:bCs w:val="1"/>
          <w:color w:val="auto"/>
        </w:rPr>
        <w:t xml:space="preserve">Net Loss: </w:t>
      </w:r>
      <w:r>
        <w:rPr>
          <w:rFonts w:ascii="Arial" w:cs="Arial" w:eastAsia="Arial" w:hAnsi="Arial"/>
          <w:sz w:val="20"/>
          <w:szCs w:val="20"/>
          <w:color w:val="auto"/>
        </w:rPr>
        <w:t>Net loss was $26.8 million for the first quarter of 2026, compared to a net loss of $16.5 million for the first quarter of</w:t>
      </w:r>
      <w:r>
        <w:rPr>
          <w:rFonts w:ascii="Arial" w:cs="Arial" w:eastAsia="Arial" w:hAnsi="Arial"/>
          <w:sz w:val="20"/>
          <w:szCs w:val="20"/>
          <w:b w:val="1"/>
          <w:bCs w:val="1"/>
          <w:color w:val="auto"/>
        </w:rPr>
        <w:t xml:space="preserve"> </w:t>
      </w:r>
      <w:r>
        <w:rPr>
          <w:rFonts w:ascii="Arial" w:cs="Arial" w:eastAsia="Arial" w:hAnsi="Arial"/>
          <w:sz w:val="20"/>
          <w:szCs w:val="20"/>
          <w:color w:val="auto"/>
        </w:rPr>
        <w:t>2025.</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Cash and Cash Equivalents: </w:t>
      </w:r>
      <w:r>
        <w:rPr>
          <w:rFonts w:ascii="Arial" w:cs="Arial" w:eastAsia="Arial" w:hAnsi="Arial"/>
          <w:sz w:val="20"/>
          <w:szCs w:val="20"/>
          <w:color w:val="auto"/>
        </w:rPr>
        <w:t>Cash, cash equivalents and marketable securities totaled $289.9 million as of March 31, 2026.</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Sionna expects its current cash position to fund operations into 2028.</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Sionna Therapeutics</w:t>
      </w:r>
    </w:p>
    <w:p>
      <w:pPr>
        <w:spacing w:after="0" w:line="20" w:lineRule="exact"/>
        <w:rPr>
          <w:sz w:val="20"/>
          <w:szCs w:val="20"/>
          <w:color w:val="auto"/>
        </w:rPr>
      </w:pPr>
    </w:p>
    <w:p>
      <w:pPr>
        <w:spacing w:after="0" w:line="251" w:lineRule="auto"/>
        <w:rPr>
          <w:sz w:val="20"/>
          <w:szCs w:val="20"/>
          <w:color w:val="auto"/>
        </w:rPr>
      </w:pPr>
      <w:r>
        <w:rPr>
          <w:rFonts w:ascii="Arial" w:cs="Arial" w:eastAsia="Arial" w:hAnsi="Arial"/>
          <w:sz w:val="20"/>
          <w:szCs w:val="20"/>
          <w:color w:val="auto"/>
        </w:rPr>
        <w:t>Sionna Therapeutics is a clinical-stage biopharmaceutical company on a mission to revolutionize the current treatment paradigm for cystic fibrosis (CF) by developing novel medicines that normalize the function of the cystic fibrosis transmembrane conductance regulator (CFTR) protein. Sionna’s goal is to deliver differentiated medicines for people living with CF that can restore their CFTR function to as close to normal as possible by directly stabilizing CFTR’s nucleotide binding domain 1 (NBD1), which Sionna believes is central to potentially unlocking dramatic improvements in clinical outcomes and quality of life for people with CF. Leveraging more than a decade of the co-founders’ research on NBD1, Sionna is advancing a pipeline of small molecules engineered to correct the defects caused by the F508del genetic mutation, which occurs in NBD1. Sionna is also developing a portfolio of complementary CFTR</w:t>
      </w:r>
    </w:p>
    <w:p>
      <w:pPr>
        <w:sectPr>
          <w:pgSz w:w="11900" w:h="16838" w:orient="portrait"/>
          <w:cols w:equalWidth="0" w:num="1">
            <w:col w:w="11220"/>
          </w:cols>
          <w:pgMar w:left="320" w:top="1440" w:right="359" w:bottom="1440" w:gutter="0" w:footer="0" w:header="0"/>
        </w:sectPr>
      </w:pPr>
    </w:p>
    <w:bookmarkStart w:id="5" w:name="page6"/>
    <w:bookmarkEnd w:id="5"/>
    <w:p>
      <w:pPr>
        <w:spacing w:after="0" w:line="123" w:lineRule="exact"/>
        <w:rPr>
          <w:sz w:val="20"/>
          <w:szCs w:val="20"/>
          <w:color w:val="auto"/>
        </w:rPr>
      </w:pPr>
    </w:p>
    <w:p>
      <w:pPr>
        <w:ind w:right="240"/>
        <w:spacing w:after="0" w:line="271" w:lineRule="auto"/>
        <w:rPr>
          <w:sz w:val="20"/>
          <w:szCs w:val="20"/>
          <w:color w:val="auto"/>
        </w:rPr>
      </w:pPr>
      <w:r>
        <w:rPr>
          <w:rFonts w:ascii="Arial" w:cs="Arial" w:eastAsia="Arial" w:hAnsi="Arial"/>
          <w:sz w:val="20"/>
          <w:szCs w:val="20"/>
          <w:color w:val="auto"/>
        </w:rPr>
        <w:t xml:space="preserve">modulators that are designed to work synergistically with its NBD1 stabilizers to improve CFTR function. For more information about Sionna, visit </w:t>
      </w:r>
      <w:r>
        <w:rPr>
          <w:rFonts w:ascii="Arial" w:cs="Arial" w:eastAsia="Arial" w:hAnsi="Arial"/>
          <w:sz w:val="20"/>
          <w:szCs w:val="20"/>
          <w:color w:val="467886"/>
        </w:rPr>
        <w:t>www.sionnatx.com</w:t>
      </w:r>
      <w:r>
        <w:rPr>
          <w:rFonts w:ascii="Arial" w:cs="Arial" w:eastAsia="Arial" w:hAnsi="Arial"/>
          <w:sz w:val="20"/>
          <w:szCs w:val="20"/>
          <w:color w:val="auto"/>
        </w:rPr>
        <w:t>.</w:t>
      </w:r>
    </w:p>
    <w:p>
      <w:pPr>
        <w:spacing w:after="0" w:line="196" w:lineRule="exact"/>
        <w:rPr>
          <w:sz w:val="20"/>
          <w:szCs w:val="20"/>
          <w:color w:val="auto"/>
        </w:rPr>
      </w:pPr>
    </w:p>
    <w:p>
      <w:pPr>
        <w:jc w:val="both"/>
        <w:ind w:right="160"/>
        <w:spacing w:after="0" w:line="282" w:lineRule="auto"/>
        <w:rPr>
          <w:sz w:val="20"/>
          <w:szCs w:val="20"/>
          <w:color w:val="auto"/>
        </w:rPr>
      </w:pPr>
      <w:r>
        <w:rPr>
          <w:rFonts w:ascii="Arial" w:cs="Arial" w:eastAsia="Arial" w:hAnsi="Arial"/>
          <w:sz w:val="19"/>
          <w:szCs w:val="19"/>
          <w:color w:val="auto"/>
        </w:rPr>
        <w:t>Sionna intends to use its Investor Relations website as a means of disclosing material nonpublic information and for complying with its disclosure obligations under Regulation FD. Accordingly, investors should monitor Sionna’s Investor Relations website, in addition to following Sionna’s press releases, SEC filings, public conference calls, presentations, and webcasts.</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33" w:lineRule="exact"/>
        <w:rPr>
          <w:sz w:val="20"/>
          <w:szCs w:val="20"/>
          <w:color w:val="auto"/>
        </w:rPr>
      </w:pPr>
    </w:p>
    <w:p>
      <w:pPr>
        <w:spacing w:after="0" w:line="262" w:lineRule="auto"/>
        <w:rPr>
          <w:sz w:val="20"/>
          <w:szCs w:val="20"/>
          <w:color w:val="auto"/>
        </w:rPr>
      </w:pPr>
      <w:r>
        <w:rPr>
          <w:rFonts w:ascii="Arial" w:cs="Arial" w:eastAsia="Arial" w:hAnsi="Arial"/>
          <w:sz w:val="19"/>
          <w:szCs w:val="19"/>
          <w:color w:val="auto"/>
        </w:rPr>
        <w:t>This press release contains forward-looking statements within the meaning of the Private Securities Litigation Reform Act of 1995, as amended, including, without limitation, implied and express statements about Sionna’s beliefs and expectations regarding: its goal of transforming the treatment paradigm for CF and providing clinically meaningful benefit for CF patients; the potential of Sionna’s product candidates to expand therapeutic options for people with CF; the initiation, timing, progress and results of Sionna’s research and development programs, clinical trials and studies, including the timing of topline data from Sionna’s Phase 2a proof-of-concept trial and Phase 1 dual combination trial; the ability of clinical trials to demonstrate safety and efficacy of Sionna’s product candidates; the ability of Sionna’s preclinical studies or earlier clinical trials to predict later clinical trial results; and financial projections and expectations regarding the time period in which Sionna’s capital resources will be sufficient to fund its anticipated operations, including cash runway, use of capital, expenses and other financial results. In some cases, the forward-looking statements can be identified by terms such as “may,” “will,” “should,” “would,” “expect,” “plan,” “anticipate,” “could,” “intend,” “target,” “project,” “believe,” “estimate,” “predict,” “potential” or “continue” or the negative of these terms or other similar expressions.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the forward-looking statements contained in this press release. Factors that could cause actual results to differ include, but are not limited to, risks and uncertainties inherent in the development of product candidates, including uncertainties concerning the initiation, timing, progress, and results of Sionna’s ongoing, planned and future clinical trials and studies; the Company’s ability to replicate positive results from earlier preclinical studies or clinical trials in current or future clinical trials; Sionna’s ability to demonstrate that its NBD1 stabilizers, complementary CFTR modulators, and any potential future product candidates are safe and effective for their proposed indications; regulatory developments in the United States and foreign countries; and general economic, industry and market conditions. These risks and uncertainties are described in the section entitled “Risk Factors” in Sionna’s most recent Annual Report on Form 10-K as well as any subsequent filings with the Securities and Exchange Commission. The events and circumstances reflected in the forward-looking statements may not be achieved or occur. In addition, any forward-looking statements represent Sionna’s views only as of today and should not be relied upon as representing its views as of any subsequent date. Sionna explicitly disclaims any obligation to update any forward-looking statements except as required by law. No representations or warranties (expressed or implied) are made about the accuracy of any such forward-looking statements.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Sarah Spencer</w:t>
      </w:r>
    </w:p>
    <w:p>
      <w:pPr>
        <w:spacing w:after="0"/>
        <w:rPr>
          <w:sz w:val="20"/>
          <w:szCs w:val="20"/>
          <w:color w:val="auto"/>
        </w:rPr>
      </w:pPr>
      <w:r>
        <w:rPr>
          <w:rFonts w:ascii="Arial" w:cs="Arial" w:eastAsia="Arial" w:hAnsi="Arial"/>
          <w:sz w:val="20"/>
          <w:szCs w:val="20"/>
          <w:color w:val="467886"/>
        </w:rPr>
        <w:t>media@sionnatx.com</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Juliet Labadorf</w:t>
      </w:r>
    </w:p>
    <w:p>
      <w:pPr>
        <w:spacing w:after="0"/>
        <w:rPr>
          <w:sz w:val="20"/>
          <w:szCs w:val="20"/>
          <w:color w:val="auto"/>
        </w:rPr>
      </w:pPr>
      <w:r>
        <w:rPr>
          <w:rFonts w:ascii="Arial" w:cs="Arial" w:eastAsia="Arial" w:hAnsi="Arial"/>
          <w:sz w:val="20"/>
          <w:szCs w:val="20"/>
          <w:color w:val="467886"/>
        </w:rPr>
        <w:t>ir@sionnatx.com</w:t>
      </w:r>
    </w:p>
    <w:p>
      <w:pPr>
        <w:sectPr>
          <w:pgSz w:w="11900" w:h="16838" w:orient="portrait"/>
          <w:cols w:equalWidth="0" w:num="1">
            <w:col w:w="11220"/>
          </w:cols>
          <w:pgMar w:left="320" w:top="1440" w:right="359" w:bottom="1440" w:gutter="0" w:footer="0" w:header="0"/>
        </w:sectPr>
      </w:pPr>
    </w:p>
    <w:bookmarkStart w:id="6" w:name="page7"/>
    <w:bookmarkEnd w:id="6"/>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6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780" w:type="dxa"/>
            <w:vAlign w:val="bottom"/>
            <w:gridSpan w:val="4"/>
          </w:tcPr>
          <w:p>
            <w:pPr>
              <w:jc w:val="right"/>
              <w:ind w:right="1061"/>
              <w:spacing w:after="0"/>
              <w:rPr>
                <w:sz w:val="20"/>
                <w:szCs w:val="20"/>
                <w:color w:val="auto"/>
              </w:rPr>
            </w:pPr>
            <w:r>
              <w:rPr>
                <w:rFonts w:ascii="Arial" w:cs="Arial" w:eastAsia="Arial" w:hAnsi="Arial"/>
                <w:sz w:val="20"/>
                <w:szCs w:val="20"/>
                <w:b w:val="1"/>
                <w:bCs w:val="1"/>
                <w:color w:val="auto"/>
              </w:rPr>
              <w:t>Three Months Ended</w:t>
            </w:r>
          </w:p>
        </w:tc>
        <w:tc>
          <w:tcPr>
            <w:tcW w:w="0" w:type="dxa"/>
            <w:vAlign w:val="bottom"/>
          </w:tcPr>
          <w:p>
            <w:pPr>
              <w:spacing w:after="0"/>
              <w:rPr>
                <w:sz w:val="1"/>
                <w:szCs w:val="1"/>
                <w:color w:val="auto"/>
              </w:rPr>
            </w:pPr>
          </w:p>
        </w:tc>
      </w:tr>
      <w:tr>
        <w:trPr>
          <w:trHeight w:val="459"/>
        </w:trPr>
        <w:tc>
          <w:tcPr>
            <w:tcW w:w="6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360" w:type="dxa"/>
            <w:vAlign w:val="bottom"/>
            <w:gridSpan w:val="3"/>
          </w:tcPr>
          <w:p>
            <w:pPr>
              <w:jc w:val="right"/>
              <w:ind w:right="161"/>
              <w:spacing w:after="0"/>
              <w:rPr>
                <w:sz w:val="20"/>
                <w:szCs w:val="20"/>
                <w:color w:val="auto"/>
              </w:rPr>
            </w:pPr>
            <w:r>
              <w:rPr>
                <w:rFonts w:ascii="Arial" w:cs="Arial" w:eastAsia="Arial" w:hAnsi="Arial"/>
                <w:sz w:val="20"/>
                <w:szCs w:val="20"/>
                <w:b w:val="1"/>
                <w:bCs w:val="1"/>
                <w:color w:val="auto"/>
              </w:rPr>
              <w:t>March 31,</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6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6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40" w:type="dxa"/>
            <w:vAlign w:val="bottom"/>
          </w:tcPr>
          <w:p>
            <w:pPr>
              <w:jc w:val="right"/>
              <w:ind w:right="701"/>
              <w:spacing w:after="0"/>
              <w:rPr>
                <w:sz w:val="20"/>
                <w:szCs w:val="20"/>
                <w:color w:val="auto"/>
              </w:rPr>
            </w:pPr>
            <w:r>
              <w:rPr>
                <w:rFonts w:ascii="Arial" w:cs="Arial" w:eastAsia="Arial" w:hAnsi="Arial"/>
                <w:sz w:val="20"/>
                <w:szCs w:val="20"/>
                <w:b w:val="1"/>
                <w:bCs w:val="1"/>
                <w:color w:val="auto"/>
              </w:rPr>
              <w:t>2026</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20" w:type="dxa"/>
            <w:vAlign w:val="bottom"/>
          </w:tcPr>
          <w:p>
            <w:pPr>
              <w:jc w:val="right"/>
              <w:ind w:right="621"/>
              <w:spacing w:after="0"/>
              <w:rPr>
                <w:sz w:val="20"/>
                <w:szCs w:val="20"/>
                <w:color w:val="auto"/>
              </w:rPr>
            </w:pPr>
            <w:r>
              <w:rPr>
                <w:rFonts w:ascii="Arial" w:cs="Arial" w:eastAsia="Arial" w:hAnsi="Arial"/>
                <w:sz w:val="20"/>
                <w:szCs w:val="20"/>
                <w:b w:val="1"/>
                <w:bCs w:val="1"/>
                <w:color w:val="auto"/>
              </w:rPr>
              <w:t>2025</w:t>
            </w:r>
          </w:p>
        </w:tc>
        <w:tc>
          <w:tcPr>
            <w:tcW w:w="0" w:type="dxa"/>
            <w:vAlign w:val="bottom"/>
          </w:tcPr>
          <w:p>
            <w:pPr>
              <w:spacing w:after="0"/>
              <w:rPr>
                <w:sz w:val="1"/>
                <w:szCs w:val="1"/>
                <w:color w:val="auto"/>
              </w:rPr>
            </w:pPr>
          </w:p>
        </w:tc>
      </w:tr>
      <w:tr>
        <w:trPr>
          <w:trHeight w:val="169"/>
        </w:trPr>
        <w:tc>
          <w:tcPr>
            <w:tcW w:w="66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6600" w:type="dxa"/>
            <w:vAlign w:val="bottom"/>
            <w:shd w:val="clear" w:color="auto" w:fill="CCEEFF"/>
          </w:tcPr>
          <w:p>
            <w:pPr>
              <w:ind w:left="120"/>
              <w:spacing w:after="0"/>
              <w:rPr>
                <w:sz w:val="20"/>
                <w:szCs w:val="20"/>
                <w:color w:val="auto"/>
              </w:rPr>
            </w:pPr>
            <w:r>
              <w:rPr>
                <w:rFonts w:ascii="Arial" w:cs="Arial" w:eastAsia="Arial" w:hAnsi="Arial"/>
                <w:sz w:val="20"/>
                <w:szCs w:val="20"/>
                <w:color w:val="auto"/>
              </w:rPr>
              <w:t>Operating expenses:</w:t>
            </w:r>
          </w:p>
        </w:tc>
        <w:tc>
          <w:tcPr>
            <w:tcW w:w="50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9"/>
        </w:trPr>
        <w:tc>
          <w:tcPr>
            <w:tcW w:w="66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80"/>
        </w:trPr>
        <w:tc>
          <w:tcPr>
            <w:tcW w:w="6600" w:type="dxa"/>
            <w:vAlign w:val="bottom"/>
            <w:vMerge w:val="restart"/>
          </w:tcPr>
          <w:p>
            <w:pPr>
              <w:ind w:left="660"/>
              <w:spacing w:after="0"/>
              <w:rPr>
                <w:sz w:val="20"/>
                <w:szCs w:val="20"/>
                <w:color w:val="auto"/>
              </w:rPr>
            </w:pPr>
            <w:r>
              <w:rPr>
                <w:rFonts w:ascii="Arial" w:cs="Arial" w:eastAsia="Arial" w:hAnsi="Arial"/>
                <w:sz w:val="20"/>
                <w:szCs w:val="20"/>
                <w:color w:val="auto"/>
              </w:rPr>
              <w:t>Research and development</w:t>
            </w:r>
          </w:p>
        </w:tc>
        <w:tc>
          <w:tcPr>
            <w:tcW w:w="50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1540" w:type="dxa"/>
            <w:vAlign w:val="bottom"/>
          </w:tcPr>
          <w:p>
            <w:pPr>
              <w:jc w:val="right"/>
              <w:spacing w:after="0"/>
              <w:rPr>
                <w:sz w:val="20"/>
                <w:szCs w:val="20"/>
                <w:color w:val="auto"/>
              </w:rPr>
            </w:pPr>
            <w:r>
              <w:rPr>
                <w:rFonts w:ascii="Arial" w:cs="Arial" w:eastAsia="Arial" w:hAnsi="Arial"/>
                <w:sz w:val="20"/>
                <w:szCs w:val="20"/>
                <w:color w:val="auto"/>
              </w:rPr>
              <w:t>18,963</w:t>
            </w:r>
          </w:p>
        </w:tc>
        <w:tc>
          <w:tcPr>
            <w:tcW w:w="340" w:type="dxa"/>
            <w:vAlign w:val="bottom"/>
          </w:tcPr>
          <w:p>
            <w:pPr>
              <w:spacing w:after="0"/>
              <w:rPr>
                <w:sz w:val="24"/>
                <w:szCs w:val="24"/>
                <w:color w:val="auto"/>
              </w:rPr>
            </w:pPr>
          </w:p>
        </w:tc>
        <w:tc>
          <w:tcPr>
            <w:tcW w:w="48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1420" w:type="dxa"/>
            <w:vAlign w:val="bottom"/>
          </w:tcPr>
          <w:p>
            <w:pPr>
              <w:jc w:val="right"/>
              <w:spacing w:after="0"/>
              <w:rPr>
                <w:sz w:val="20"/>
                <w:szCs w:val="20"/>
                <w:color w:val="auto"/>
              </w:rPr>
            </w:pPr>
            <w:r>
              <w:rPr>
                <w:rFonts w:ascii="Arial" w:cs="Arial" w:eastAsia="Arial" w:hAnsi="Arial"/>
                <w:sz w:val="20"/>
                <w:szCs w:val="20"/>
                <w:color w:val="auto"/>
              </w:rPr>
              <w:t>13,668</w:t>
            </w:r>
          </w:p>
        </w:tc>
        <w:tc>
          <w:tcPr>
            <w:tcW w:w="0" w:type="dxa"/>
            <w:vAlign w:val="bottom"/>
          </w:tcPr>
          <w:p>
            <w:pPr>
              <w:spacing w:after="0"/>
              <w:rPr>
                <w:sz w:val="1"/>
                <w:szCs w:val="1"/>
                <w:color w:val="auto"/>
              </w:rPr>
            </w:pPr>
          </w:p>
        </w:tc>
      </w:tr>
      <w:tr>
        <w:trPr>
          <w:trHeight w:val="148"/>
        </w:trPr>
        <w:tc>
          <w:tcPr>
            <w:tcW w:w="660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6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0"/>
        </w:trPr>
        <w:tc>
          <w:tcPr>
            <w:tcW w:w="6600" w:type="dxa"/>
            <w:vAlign w:val="bottom"/>
            <w:vMerge w:val="restart"/>
            <w:shd w:val="clear" w:color="auto" w:fill="CCEEFF"/>
          </w:tcPr>
          <w:p>
            <w:pPr>
              <w:ind w:left="660"/>
              <w:spacing w:after="0"/>
              <w:rPr>
                <w:sz w:val="20"/>
                <w:szCs w:val="20"/>
                <w:color w:val="auto"/>
              </w:rPr>
            </w:pPr>
            <w:r>
              <w:rPr>
                <w:rFonts w:ascii="Arial" w:cs="Arial" w:eastAsia="Arial" w:hAnsi="Arial"/>
                <w:sz w:val="20"/>
                <w:szCs w:val="20"/>
                <w:color w:val="auto"/>
              </w:rPr>
              <w:t>General and administrative</w:t>
            </w:r>
          </w:p>
        </w:tc>
        <w:tc>
          <w:tcPr>
            <w:tcW w:w="50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10,636</w:t>
            </w:r>
          </w:p>
        </w:tc>
        <w:tc>
          <w:tcPr>
            <w:tcW w:w="3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5,991</w:t>
            </w:r>
          </w:p>
        </w:tc>
        <w:tc>
          <w:tcPr>
            <w:tcW w:w="0" w:type="dxa"/>
            <w:vAlign w:val="bottom"/>
          </w:tcPr>
          <w:p>
            <w:pPr>
              <w:spacing w:after="0"/>
              <w:rPr>
                <w:sz w:val="1"/>
                <w:szCs w:val="1"/>
                <w:color w:val="auto"/>
              </w:rPr>
            </w:pPr>
          </w:p>
        </w:tc>
      </w:tr>
      <w:tr>
        <w:trPr>
          <w:trHeight w:val="179"/>
        </w:trPr>
        <w:tc>
          <w:tcPr>
            <w:tcW w:w="6600" w:type="dxa"/>
            <w:vAlign w:val="bottom"/>
            <w:tcBorders>
              <w:bottom w:val="single" w:sz="8" w:color="CCEEFF"/>
            </w:tcBorders>
            <w:vMerge w:val="continue"/>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6600" w:type="dxa"/>
            <w:vAlign w:val="bottom"/>
            <w:vMerge w:val="restart"/>
          </w:tcPr>
          <w:p>
            <w:pPr>
              <w:ind w:left="660"/>
              <w:spacing w:after="0"/>
              <w:rPr>
                <w:sz w:val="20"/>
                <w:szCs w:val="20"/>
                <w:color w:val="auto"/>
              </w:rPr>
            </w:pPr>
            <w:r>
              <w:rPr>
                <w:rFonts w:ascii="Arial" w:cs="Arial" w:eastAsia="Arial" w:hAnsi="Arial"/>
                <w:sz w:val="20"/>
                <w:szCs w:val="20"/>
                <w:color w:val="auto"/>
              </w:rPr>
              <w:t>Total operating expenses</w:t>
            </w:r>
          </w:p>
        </w:tc>
        <w:tc>
          <w:tcPr>
            <w:tcW w:w="500" w:type="dxa"/>
            <w:vAlign w:val="bottom"/>
            <w:tcBorders>
              <w:top w:val="single" w:sz="8" w:color="auto"/>
            </w:tcBorders>
          </w:tcPr>
          <w:p>
            <w:pPr>
              <w:spacing w:after="0"/>
              <w:rPr>
                <w:sz w:val="23"/>
                <w:szCs w:val="23"/>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29,599</w:t>
            </w:r>
          </w:p>
        </w:tc>
        <w:tc>
          <w:tcPr>
            <w:tcW w:w="340" w:type="dxa"/>
            <w:vAlign w:val="bottom"/>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19,659</w:t>
            </w:r>
          </w:p>
        </w:tc>
        <w:tc>
          <w:tcPr>
            <w:tcW w:w="0" w:type="dxa"/>
            <w:vAlign w:val="bottom"/>
          </w:tcPr>
          <w:p>
            <w:pPr>
              <w:spacing w:after="0"/>
              <w:rPr>
                <w:sz w:val="1"/>
                <w:szCs w:val="1"/>
                <w:color w:val="auto"/>
              </w:rPr>
            </w:pPr>
          </w:p>
        </w:tc>
      </w:tr>
      <w:tr>
        <w:trPr>
          <w:trHeight w:val="149"/>
        </w:trPr>
        <w:tc>
          <w:tcPr>
            <w:tcW w:w="660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66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3"/>
        </w:trPr>
        <w:tc>
          <w:tcPr>
            <w:tcW w:w="6600" w:type="dxa"/>
            <w:vAlign w:val="bottom"/>
            <w:shd w:val="clear" w:color="auto" w:fill="CCEEFF"/>
          </w:tcPr>
          <w:p>
            <w:pPr>
              <w:ind w:left="120"/>
              <w:spacing w:after="0"/>
              <w:rPr>
                <w:sz w:val="20"/>
                <w:szCs w:val="20"/>
                <w:color w:val="auto"/>
              </w:rPr>
            </w:pPr>
            <w:r>
              <w:rPr>
                <w:rFonts w:ascii="Arial" w:cs="Arial" w:eastAsia="Arial" w:hAnsi="Arial"/>
                <w:sz w:val="20"/>
                <w:szCs w:val="20"/>
                <w:color w:val="auto"/>
              </w:rPr>
              <w:t>Loss from operations</w:t>
            </w:r>
          </w:p>
        </w:tc>
        <w:tc>
          <w:tcPr>
            <w:tcW w:w="50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(29,599)</w:t>
            </w:r>
          </w:p>
        </w:tc>
        <w:tc>
          <w:tcPr>
            <w:tcW w:w="3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(19,659)</w:t>
            </w:r>
          </w:p>
        </w:tc>
        <w:tc>
          <w:tcPr>
            <w:tcW w:w="0" w:type="dxa"/>
            <w:vAlign w:val="bottom"/>
          </w:tcPr>
          <w:p>
            <w:pPr>
              <w:spacing w:after="0"/>
              <w:rPr>
                <w:sz w:val="1"/>
                <w:szCs w:val="1"/>
                <w:color w:val="auto"/>
              </w:rPr>
            </w:pPr>
          </w:p>
        </w:tc>
      </w:tr>
      <w:tr>
        <w:trPr>
          <w:trHeight w:val="179"/>
        </w:trPr>
        <w:tc>
          <w:tcPr>
            <w:tcW w:w="66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80"/>
        </w:trPr>
        <w:tc>
          <w:tcPr>
            <w:tcW w:w="6600" w:type="dxa"/>
            <w:vAlign w:val="bottom"/>
          </w:tcPr>
          <w:p>
            <w:pPr>
              <w:ind w:left="120"/>
              <w:spacing w:after="0"/>
              <w:rPr>
                <w:sz w:val="20"/>
                <w:szCs w:val="20"/>
                <w:color w:val="auto"/>
              </w:rPr>
            </w:pPr>
            <w:r>
              <w:rPr>
                <w:rFonts w:ascii="Arial" w:cs="Arial" w:eastAsia="Arial" w:hAnsi="Arial"/>
                <w:sz w:val="20"/>
                <w:szCs w:val="20"/>
                <w:color w:val="auto"/>
              </w:rPr>
              <w:t>Other income:</w:t>
            </w:r>
          </w:p>
        </w:tc>
        <w:tc>
          <w:tcPr>
            <w:tcW w:w="5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6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0"/>
        </w:trPr>
        <w:tc>
          <w:tcPr>
            <w:tcW w:w="6600" w:type="dxa"/>
            <w:vAlign w:val="bottom"/>
            <w:vMerge w:val="restart"/>
            <w:shd w:val="clear" w:color="auto" w:fill="CCEEFF"/>
          </w:tcPr>
          <w:p>
            <w:pPr>
              <w:ind w:left="660"/>
              <w:spacing w:after="0"/>
              <w:rPr>
                <w:sz w:val="20"/>
                <w:szCs w:val="20"/>
                <w:color w:val="auto"/>
              </w:rPr>
            </w:pPr>
            <w:r>
              <w:rPr>
                <w:rFonts w:ascii="Arial" w:cs="Arial" w:eastAsia="Arial" w:hAnsi="Arial"/>
                <w:sz w:val="20"/>
                <w:szCs w:val="20"/>
                <w:color w:val="auto"/>
              </w:rPr>
              <w:t>Interest income</w:t>
            </w:r>
          </w:p>
        </w:tc>
        <w:tc>
          <w:tcPr>
            <w:tcW w:w="50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2,820</w:t>
            </w:r>
          </w:p>
        </w:tc>
        <w:tc>
          <w:tcPr>
            <w:tcW w:w="3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3,000</w:t>
            </w:r>
          </w:p>
        </w:tc>
        <w:tc>
          <w:tcPr>
            <w:tcW w:w="0" w:type="dxa"/>
            <w:vAlign w:val="bottom"/>
          </w:tcPr>
          <w:p>
            <w:pPr>
              <w:spacing w:after="0"/>
              <w:rPr>
                <w:sz w:val="1"/>
                <w:szCs w:val="1"/>
                <w:color w:val="auto"/>
              </w:rPr>
            </w:pPr>
          </w:p>
        </w:tc>
      </w:tr>
      <w:tr>
        <w:trPr>
          <w:trHeight w:val="159"/>
        </w:trPr>
        <w:tc>
          <w:tcPr>
            <w:tcW w:w="6600" w:type="dxa"/>
            <w:vAlign w:val="bottom"/>
            <w:tcBorders>
              <w:bottom w:val="single" w:sz="8" w:color="CCEEFF"/>
            </w:tcBorders>
            <w:vMerge w:val="continue"/>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154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14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6600" w:type="dxa"/>
            <w:vAlign w:val="bottom"/>
            <w:vMerge w:val="restart"/>
          </w:tcPr>
          <w:p>
            <w:pPr>
              <w:ind w:left="660"/>
              <w:spacing w:after="0"/>
              <w:rPr>
                <w:sz w:val="20"/>
                <w:szCs w:val="20"/>
                <w:color w:val="auto"/>
              </w:rPr>
            </w:pPr>
            <w:r>
              <w:rPr>
                <w:rFonts w:ascii="Arial" w:cs="Arial" w:eastAsia="Arial" w:hAnsi="Arial"/>
                <w:sz w:val="20"/>
                <w:szCs w:val="20"/>
                <w:color w:val="auto"/>
              </w:rPr>
              <w:t>Other income</w:t>
            </w:r>
          </w:p>
        </w:tc>
        <w:tc>
          <w:tcPr>
            <w:tcW w:w="5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177</w:t>
            </w:r>
          </w:p>
        </w:tc>
        <w:tc>
          <w:tcPr>
            <w:tcW w:w="0" w:type="dxa"/>
            <w:vAlign w:val="bottom"/>
          </w:tcPr>
          <w:p>
            <w:pPr>
              <w:spacing w:after="0"/>
              <w:rPr>
                <w:sz w:val="1"/>
                <w:szCs w:val="1"/>
                <w:color w:val="auto"/>
              </w:rPr>
            </w:pPr>
          </w:p>
        </w:tc>
      </w:tr>
      <w:tr>
        <w:trPr>
          <w:trHeight w:val="149"/>
        </w:trPr>
        <w:tc>
          <w:tcPr>
            <w:tcW w:w="660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66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3"/>
        </w:trPr>
        <w:tc>
          <w:tcPr>
            <w:tcW w:w="6600" w:type="dxa"/>
            <w:vAlign w:val="bottom"/>
            <w:vMerge w:val="restart"/>
            <w:shd w:val="clear" w:color="auto" w:fill="CCEEFF"/>
          </w:tcPr>
          <w:p>
            <w:pPr>
              <w:ind w:left="660"/>
              <w:spacing w:after="0"/>
              <w:rPr>
                <w:sz w:val="20"/>
                <w:szCs w:val="20"/>
                <w:color w:val="auto"/>
              </w:rPr>
            </w:pPr>
            <w:r>
              <w:rPr>
                <w:rFonts w:ascii="Arial" w:cs="Arial" w:eastAsia="Arial" w:hAnsi="Arial"/>
                <w:sz w:val="20"/>
                <w:szCs w:val="20"/>
                <w:color w:val="auto"/>
              </w:rPr>
              <w:t>Total other income</w:t>
            </w:r>
          </w:p>
        </w:tc>
        <w:tc>
          <w:tcPr>
            <w:tcW w:w="50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2,820</w:t>
            </w:r>
          </w:p>
        </w:tc>
        <w:tc>
          <w:tcPr>
            <w:tcW w:w="3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3,177</w:t>
            </w:r>
          </w:p>
        </w:tc>
        <w:tc>
          <w:tcPr>
            <w:tcW w:w="0" w:type="dxa"/>
            <w:vAlign w:val="bottom"/>
          </w:tcPr>
          <w:p>
            <w:pPr>
              <w:spacing w:after="0"/>
              <w:rPr>
                <w:sz w:val="1"/>
                <w:szCs w:val="1"/>
                <w:color w:val="auto"/>
              </w:rPr>
            </w:pPr>
          </w:p>
        </w:tc>
      </w:tr>
      <w:tr>
        <w:trPr>
          <w:trHeight w:val="179"/>
        </w:trPr>
        <w:tc>
          <w:tcPr>
            <w:tcW w:w="6600" w:type="dxa"/>
            <w:vAlign w:val="bottom"/>
            <w:tcBorders>
              <w:bottom w:val="single" w:sz="8" w:color="CCEEFF"/>
            </w:tcBorders>
            <w:vMerge w:val="continue"/>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87"/>
        </w:trPr>
        <w:tc>
          <w:tcPr>
            <w:tcW w:w="6600" w:type="dxa"/>
            <w:vAlign w:val="bottom"/>
          </w:tcPr>
          <w:p>
            <w:pPr>
              <w:ind w:left="120"/>
              <w:spacing w:after="0"/>
              <w:rPr>
                <w:sz w:val="20"/>
                <w:szCs w:val="20"/>
                <w:color w:val="auto"/>
              </w:rPr>
            </w:pPr>
            <w:r>
              <w:rPr>
                <w:rFonts w:ascii="Arial" w:cs="Arial" w:eastAsia="Arial" w:hAnsi="Arial"/>
                <w:sz w:val="20"/>
                <w:szCs w:val="20"/>
                <w:color w:val="auto"/>
              </w:rPr>
              <w:t>Net loss</w:t>
            </w:r>
          </w:p>
        </w:tc>
        <w:tc>
          <w:tcPr>
            <w:tcW w:w="500" w:type="dxa"/>
            <w:vAlign w:val="bottom"/>
            <w:tcBorders>
              <w:top w:val="single" w:sz="8" w:color="auto"/>
            </w:tcBorders>
          </w:tcPr>
          <w:p>
            <w:pPr>
              <w:jc w:val="right"/>
              <w:ind w:right="181"/>
              <w:spacing w:after="0"/>
              <w:rPr>
                <w:sz w:val="20"/>
                <w:szCs w:val="20"/>
                <w:color w:val="auto"/>
              </w:rPr>
            </w:pPr>
            <w:r>
              <w:rPr>
                <w:rFonts w:ascii="Arial" w:cs="Arial" w:eastAsia="Arial" w:hAnsi="Arial"/>
                <w:sz w:val="20"/>
                <w:szCs w:val="20"/>
                <w:color w:val="auto"/>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(26,779)</w:t>
            </w:r>
          </w:p>
        </w:tc>
        <w:tc>
          <w:tcPr>
            <w:tcW w:w="340" w:type="dxa"/>
            <w:vAlign w:val="bottom"/>
          </w:tcPr>
          <w:p>
            <w:pPr>
              <w:spacing w:after="0"/>
              <w:rPr>
                <w:sz w:val="24"/>
                <w:szCs w:val="24"/>
                <w:color w:val="auto"/>
              </w:rPr>
            </w:pPr>
          </w:p>
        </w:tc>
        <w:tc>
          <w:tcPr>
            <w:tcW w:w="480" w:type="dxa"/>
            <w:vAlign w:val="bottom"/>
            <w:tcBorders>
              <w:top w:val="single" w:sz="8" w:color="auto"/>
            </w:tcBorders>
          </w:tcPr>
          <w:p>
            <w:pPr>
              <w:jc w:val="right"/>
              <w:ind w:right="141"/>
              <w:spacing w:after="0"/>
              <w:rPr>
                <w:sz w:val="20"/>
                <w:szCs w:val="20"/>
                <w:color w:val="auto"/>
              </w:rPr>
            </w:pPr>
            <w:r>
              <w:rPr>
                <w:rFonts w:ascii="Arial" w:cs="Arial" w:eastAsia="Arial" w:hAnsi="Arial"/>
                <w:sz w:val="20"/>
                <w:szCs w:val="20"/>
                <w:color w:val="auto"/>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(16,482)</w:t>
            </w:r>
          </w:p>
        </w:tc>
        <w:tc>
          <w:tcPr>
            <w:tcW w:w="0" w:type="dxa"/>
            <w:vAlign w:val="bottom"/>
          </w:tcPr>
          <w:p>
            <w:pPr>
              <w:spacing w:after="0"/>
              <w:rPr>
                <w:sz w:val="1"/>
                <w:szCs w:val="1"/>
                <w:color w:val="auto"/>
              </w:rPr>
            </w:pPr>
          </w:p>
        </w:tc>
      </w:tr>
      <w:tr>
        <w:trPr>
          <w:trHeight w:val="205"/>
        </w:trPr>
        <w:tc>
          <w:tcPr>
            <w:tcW w:w="66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6600" w:type="dxa"/>
            <w:vAlign w:val="bottom"/>
            <w:shd w:val="clear" w:color="auto" w:fill="CCEEFF"/>
          </w:tcPr>
          <w:p>
            <w:pPr>
              <w:ind w:left="120"/>
              <w:spacing w:after="0"/>
              <w:rPr>
                <w:sz w:val="20"/>
                <w:szCs w:val="20"/>
                <w:color w:val="auto"/>
              </w:rPr>
            </w:pPr>
            <w:r>
              <w:rPr>
                <w:rFonts w:ascii="Arial" w:cs="Arial" w:eastAsia="Arial" w:hAnsi="Arial"/>
                <w:sz w:val="20"/>
                <w:szCs w:val="20"/>
                <w:color w:val="auto"/>
              </w:rPr>
              <w:t>Net loss per share, basic and diluted</w:t>
            </w:r>
          </w:p>
        </w:tc>
        <w:tc>
          <w:tcPr>
            <w:tcW w:w="500" w:type="dxa"/>
            <w:vAlign w:val="bottom"/>
            <w:shd w:val="clear" w:color="auto" w:fill="CCEEFF"/>
          </w:tcPr>
          <w:p>
            <w:pPr>
              <w:jc w:val="right"/>
              <w:ind w:right="181"/>
              <w:spacing w:after="0"/>
              <w:rPr>
                <w:sz w:val="20"/>
                <w:szCs w:val="20"/>
                <w:color w:val="auto"/>
              </w:rPr>
            </w:pPr>
            <w:r>
              <w:rPr>
                <w:rFonts w:ascii="Arial" w:cs="Arial" w:eastAsia="Arial" w:hAnsi="Arial"/>
                <w:sz w:val="20"/>
                <w:szCs w:val="20"/>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(0.60)</w:t>
            </w:r>
          </w:p>
        </w:tc>
        <w:tc>
          <w:tcPr>
            <w:tcW w:w="34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(0.62)</w:t>
            </w:r>
          </w:p>
        </w:tc>
        <w:tc>
          <w:tcPr>
            <w:tcW w:w="0" w:type="dxa"/>
            <w:vAlign w:val="bottom"/>
          </w:tcPr>
          <w:p>
            <w:pPr>
              <w:spacing w:after="0"/>
              <w:rPr>
                <w:sz w:val="1"/>
                <w:szCs w:val="1"/>
                <w:color w:val="auto"/>
              </w:rPr>
            </w:pPr>
          </w:p>
        </w:tc>
      </w:tr>
      <w:tr>
        <w:trPr>
          <w:trHeight w:val="179"/>
        </w:trPr>
        <w:tc>
          <w:tcPr>
            <w:tcW w:w="66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80"/>
        </w:trPr>
        <w:tc>
          <w:tcPr>
            <w:tcW w:w="6600" w:type="dxa"/>
            <w:vAlign w:val="bottom"/>
          </w:tcPr>
          <w:p>
            <w:pPr>
              <w:ind w:left="120"/>
              <w:spacing w:after="0"/>
              <w:rPr>
                <w:sz w:val="20"/>
                <w:szCs w:val="20"/>
                <w:color w:val="auto"/>
              </w:rPr>
            </w:pPr>
            <w:r>
              <w:rPr>
                <w:rFonts w:ascii="Arial" w:cs="Arial" w:eastAsia="Arial" w:hAnsi="Arial"/>
                <w:sz w:val="20"/>
                <w:szCs w:val="20"/>
                <w:color w:val="auto"/>
              </w:rPr>
              <w:t>Weighted-average common shares outstanding, basic and diluted</w:t>
            </w:r>
          </w:p>
        </w:tc>
        <w:tc>
          <w:tcPr>
            <w:tcW w:w="5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44,921,984</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26,596,059</w:t>
            </w:r>
          </w:p>
        </w:tc>
        <w:tc>
          <w:tcPr>
            <w:tcW w:w="0" w:type="dxa"/>
            <w:vAlign w:val="bottom"/>
          </w:tcPr>
          <w:p>
            <w:pPr>
              <w:spacing w:after="0"/>
              <w:rPr>
                <w:sz w:val="1"/>
                <w:szCs w:val="1"/>
                <w:color w:val="auto"/>
              </w:rPr>
            </w:pPr>
          </w:p>
        </w:tc>
      </w:tr>
    </w:tbl>
    <w:p>
      <w:pPr>
        <w:sectPr>
          <w:pgSz w:w="11900" w:h="16838" w:orient="portrait"/>
          <w:cols w:equalWidth="0" w:num="1">
            <w:col w:w="10880"/>
          </w:cols>
          <w:pgMar w:left="320" w:top="1440" w:right="699" w:bottom="1440" w:gutter="0" w:footer="0" w:header="0"/>
        </w:sectPr>
      </w:pPr>
    </w:p>
    <w:bookmarkStart w:id="7" w:name="page8"/>
    <w:bookmarkEnd w:id="7"/>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Sionna Therapeutics,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Selected Consolidated Balance Sheet Data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66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20" w:type="dxa"/>
            <w:vAlign w:val="bottom"/>
            <w:gridSpan w:val="2"/>
          </w:tcPr>
          <w:p>
            <w:pPr>
              <w:ind w:left="180"/>
              <w:spacing w:after="0"/>
              <w:rPr>
                <w:sz w:val="20"/>
                <w:szCs w:val="20"/>
                <w:color w:val="auto"/>
              </w:rPr>
            </w:pPr>
            <w:r>
              <w:rPr>
                <w:rFonts w:ascii="Arial" w:cs="Arial" w:eastAsia="Arial" w:hAnsi="Arial"/>
                <w:sz w:val="20"/>
                <w:szCs w:val="20"/>
                <w:b w:val="1"/>
                <w:bCs w:val="1"/>
                <w:color w:val="auto"/>
              </w:rPr>
              <w:t>March 31,</w:t>
            </w:r>
          </w:p>
        </w:tc>
        <w:tc>
          <w:tcPr>
            <w:tcW w:w="340" w:type="dxa"/>
            <w:vAlign w:val="bottom"/>
          </w:tcPr>
          <w:p>
            <w:pPr>
              <w:spacing w:after="0"/>
              <w:rPr>
                <w:sz w:val="23"/>
                <w:szCs w:val="23"/>
                <w:color w:val="auto"/>
              </w:rPr>
            </w:pPr>
          </w:p>
        </w:tc>
        <w:tc>
          <w:tcPr>
            <w:tcW w:w="1840" w:type="dxa"/>
            <w:vAlign w:val="bottom"/>
          </w:tcPr>
          <w:p>
            <w:pPr>
              <w:jc w:val="right"/>
              <w:ind w:right="341"/>
              <w:spacing w:after="0"/>
              <w:rPr>
                <w:sz w:val="20"/>
                <w:szCs w:val="20"/>
                <w:color w:val="auto"/>
              </w:rPr>
            </w:pPr>
            <w:r>
              <w:rPr>
                <w:rFonts w:ascii="Arial" w:cs="Arial" w:eastAsia="Arial" w:hAnsi="Arial"/>
                <w:sz w:val="20"/>
                <w:szCs w:val="20"/>
                <w:b w:val="1"/>
                <w:bCs w:val="1"/>
                <w:color w:val="auto"/>
              </w:rPr>
              <w:t>December 31,</w:t>
            </w:r>
          </w:p>
        </w:tc>
      </w:tr>
      <w:tr>
        <w:trPr>
          <w:trHeight w:val="459"/>
        </w:trPr>
        <w:tc>
          <w:tcPr>
            <w:tcW w:w="6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80" w:type="dxa"/>
            <w:vAlign w:val="bottom"/>
          </w:tcPr>
          <w:p>
            <w:pPr>
              <w:jc w:val="right"/>
              <w:ind w:right="721"/>
              <w:spacing w:after="0"/>
              <w:rPr>
                <w:sz w:val="20"/>
                <w:szCs w:val="20"/>
                <w:color w:val="auto"/>
              </w:rPr>
            </w:pPr>
            <w:r>
              <w:rPr>
                <w:rFonts w:ascii="Arial" w:cs="Arial" w:eastAsia="Arial" w:hAnsi="Arial"/>
                <w:sz w:val="20"/>
                <w:szCs w:val="20"/>
                <w:b w:val="1"/>
                <w:bCs w:val="1"/>
                <w:color w:val="auto"/>
              </w:rPr>
              <w:t>2026</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40" w:type="dxa"/>
            <w:vAlign w:val="bottom"/>
          </w:tcPr>
          <w:p>
            <w:pPr>
              <w:jc w:val="right"/>
              <w:ind w:right="761"/>
              <w:spacing w:after="0"/>
              <w:rPr>
                <w:sz w:val="20"/>
                <w:szCs w:val="20"/>
                <w:color w:val="auto"/>
              </w:rPr>
            </w:pPr>
            <w:r>
              <w:rPr>
                <w:rFonts w:ascii="Arial" w:cs="Arial" w:eastAsia="Arial" w:hAnsi="Arial"/>
                <w:sz w:val="20"/>
                <w:szCs w:val="20"/>
                <w:b w:val="1"/>
                <w:bCs w:val="1"/>
                <w:color w:val="auto"/>
              </w:rPr>
              <w:t>2025</w:t>
            </w:r>
          </w:p>
        </w:tc>
      </w:tr>
      <w:tr>
        <w:trPr>
          <w:trHeight w:val="169"/>
        </w:trPr>
        <w:tc>
          <w:tcPr>
            <w:tcW w:w="66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spacing w:after="0"/>
              <w:rPr>
                <w:sz w:val="14"/>
                <w:szCs w:val="14"/>
                <w:color w:val="auto"/>
              </w:rPr>
            </w:pPr>
          </w:p>
        </w:tc>
      </w:tr>
      <w:tr>
        <w:trPr>
          <w:trHeight w:val="274"/>
        </w:trPr>
        <w:tc>
          <w:tcPr>
            <w:tcW w:w="6600" w:type="dxa"/>
            <w:vAlign w:val="bottom"/>
            <w:shd w:val="clear" w:color="auto" w:fill="CCEEFF"/>
          </w:tcPr>
          <w:p>
            <w:pPr>
              <w:ind w:left="120"/>
              <w:spacing w:after="0"/>
              <w:rPr>
                <w:sz w:val="20"/>
                <w:szCs w:val="20"/>
                <w:color w:val="auto"/>
              </w:rPr>
            </w:pPr>
            <w:r>
              <w:rPr>
                <w:rFonts w:ascii="Arial" w:cs="Arial" w:eastAsia="Arial" w:hAnsi="Arial"/>
                <w:sz w:val="20"/>
                <w:szCs w:val="20"/>
                <w:color w:val="auto"/>
              </w:rPr>
              <w:t>Cash, cash equivalents, and marketable securities</w:t>
            </w:r>
          </w:p>
        </w:tc>
        <w:tc>
          <w:tcPr>
            <w:tcW w:w="40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289,931</w:t>
            </w:r>
          </w:p>
        </w:tc>
        <w:tc>
          <w:tcPr>
            <w:tcW w:w="34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310,302</w:t>
            </w:r>
          </w:p>
        </w:tc>
      </w:tr>
      <w:tr>
        <w:trPr>
          <w:trHeight w:val="179"/>
        </w:trPr>
        <w:tc>
          <w:tcPr>
            <w:tcW w:w="66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r>
      <w:tr>
        <w:trPr>
          <w:trHeight w:val="431"/>
        </w:trPr>
        <w:tc>
          <w:tcPr>
            <w:tcW w:w="6600" w:type="dxa"/>
            <w:vAlign w:val="bottom"/>
          </w:tcPr>
          <w:p>
            <w:pPr>
              <w:ind w:left="80"/>
              <w:spacing w:after="0"/>
              <w:rPr>
                <w:sz w:val="20"/>
                <w:szCs w:val="20"/>
                <w:color w:val="auto"/>
              </w:rPr>
            </w:pPr>
            <w:r>
              <w:rPr>
                <w:rFonts w:ascii="Arial" w:cs="Arial" w:eastAsia="Arial" w:hAnsi="Arial"/>
                <w:sz w:val="20"/>
                <w:szCs w:val="20"/>
                <w:color w:val="auto"/>
              </w:rPr>
              <w:t>Working capital</w:t>
            </w:r>
            <w:r>
              <w:rPr>
                <w:rFonts w:ascii="Arial" w:cs="Arial" w:eastAsia="Arial" w:hAnsi="Arial"/>
                <w:sz w:val="25"/>
                <w:szCs w:val="25"/>
                <w:color w:val="auto"/>
                <w:vertAlign w:val="superscript"/>
              </w:rPr>
              <w:t>1</w:t>
            </w:r>
          </w:p>
        </w:tc>
        <w:tc>
          <w:tcPr>
            <w:tcW w:w="40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20"/>
                <w:szCs w:val="20"/>
                <w:color w:val="auto"/>
              </w:rPr>
              <w:t>211,183</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20"/>
                <w:szCs w:val="20"/>
                <w:color w:val="auto"/>
              </w:rPr>
              <w:t>229,707</w:t>
            </w:r>
          </w:p>
        </w:tc>
      </w:tr>
      <w:tr>
        <w:trPr>
          <w:trHeight w:val="28"/>
        </w:trPr>
        <w:tc>
          <w:tcPr>
            <w:tcW w:w="6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80"/>
        </w:trPr>
        <w:tc>
          <w:tcPr>
            <w:tcW w:w="6600" w:type="dxa"/>
            <w:vAlign w:val="bottom"/>
            <w:shd w:val="clear" w:color="auto" w:fill="CCEEFF"/>
          </w:tcPr>
          <w:p>
            <w:pPr>
              <w:ind w:left="120"/>
              <w:spacing w:after="0"/>
              <w:rPr>
                <w:sz w:val="20"/>
                <w:szCs w:val="20"/>
                <w:color w:val="auto"/>
              </w:rPr>
            </w:pPr>
            <w:r>
              <w:rPr>
                <w:rFonts w:ascii="Arial" w:cs="Arial" w:eastAsia="Arial" w:hAnsi="Arial"/>
                <w:sz w:val="20"/>
                <w:szCs w:val="20"/>
                <w:color w:val="auto"/>
              </w:rPr>
              <w:t>Total assets</w:t>
            </w:r>
          </w:p>
        </w:tc>
        <w:tc>
          <w:tcPr>
            <w:tcW w:w="400" w:type="dxa"/>
            <w:vAlign w:val="bottom"/>
            <w:shd w:val="clear" w:color="auto" w:fill="CCEEFF"/>
          </w:tcPr>
          <w:p>
            <w:pPr>
              <w:spacing w:after="0"/>
              <w:rPr>
                <w:sz w:val="24"/>
                <w:szCs w:val="2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305,039</w:t>
            </w:r>
          </w:p>
        </w:tc>
        <w:tc>
          <w:tcPr>
            <w:tcW w:w="3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325,953</w:t>
            </w:r>
          </w:p>
        </w:tc>
      </w:tr>
      <w:tr>
        <w:trPr>
          <w:trHeight w:val="179"/>
        </w:trPr>
        <w:tc>
          <w:tcPr>
            <w:tcW w:w="66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r>
      <w:tr>
        <w:trPr>
          <w:trHeight w:val="280"/>
        </w:trPr>
        <w:tc>
          <w:tcPr>
            <w:tcW w:w="6600" w:type="dxa"/>
            <w:vAlign w:val="bottom"/>
          </w:tcPr>
          <w:p>
            <w:pPr>
              <w:ind w:left="120"/>
              <w:spacing w:after="0"/>
              <w:rPr>
                <w:sz w:val="20"/>
                <w:szCs w:val="20"/>
                <w:color w:val="auto"/>
              </w:rPr>
            </w:pPr>
            <w:r>
              <w:rPr>
                <w:rFonts w:ascii="Arial" w:cs="Arial" w:eastAsia="Arial" w:hAnsi="Arial"/>
                <w:sz w:val="20"/>
                <w:szCs w:val="20"/>
                <w:color w:val="auto"/>
              </w:rPr>
              <w:t>Total stockholders’ equity</w:t>
            </w:r>
          </w:p>
        </w:tc>
        <w:tc>
          <w:tcPr>
            <w:tcW w:w="40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20"/>
                <w:szCs w:val="20"/>
                <w:color w:val="auto"/>
              </w:rPr>
              <w:t>288,208</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20"/>
                <w:szCs w:val="20"/>
                <w:color w:val="auto"/>
              </w:rPr>
              <w:t>306,833</w:t>
            </w:r>
          </w:p>
        </w:tc>
      </w:tr>
    </w:tbl>
    <w:p>
      <w:pPr>
        <w:spacing w:after="0" w:line="200" w:lineRule="exact"/>
        <w:rPr>
          <w:sz w:val="20"/>
          <w:szCs w:val="20"/>
          <w:color w:val="auto"/>
        </w:rPr>
      </w:pPr>
    </w:p>
    <w:p>
      <w:pPr>
        <w:spacing w:after="0" w:line="254" w:lineRule="exact"/>
        <w:rPr>
          <w:sz w:val="20"/>
          <w:szCs w:val="20"/>
          <w:color w:val="auto"/>
        </w:rPr>
      </w:pPr>
    </w:p>
    <w:p>
      <w:pPr>
        <w:ind w:left="80"/>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20"/>
          <w:szCs w:val="20"/>
          <w:color w:val="auto"/>
        </w:rPr>
        <w:t>Sionna defines working capital as current assets minus current liabilities.</w:t>
      </w:r>
    </w:p>
    <w:sectPr>
      <w:pgSz w:w="11900" w:h="16838" w:orient="portrait"/>
      <w:cols w:equalWidth="0" w:num="1">
        <w:col w:w="11200"/>
      </w:cols>
      <w:pgMar w:left="32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2026-05-12T06:11:02Z</dcterms:created>
  <dcterms:modified xsi:type="dcterms:W3CDTF">2026-05-12T06:11:02Z</dcterms:modified>
</cp:coreProperties>
</file>