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331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80" w:type="dxa"/>
            <w:vAlign w:val="bottom"/>
          </w:tcPr>
          <w:p>
            <w:pPr>
              <w:spacing w:after="0"/>
              <w:rPr>
                <w:sz w:val="15"/>
                <w:szCs w:val="15"/>
                <w:color w:val="auto"/>
              </w:rPr>
            </w:pPr>
          </w:p>
        </w:tc>
        <w:tc>
          <w:tcPr>
            <w:tcW w:w="3840" w:type="dxa"/>
            <w:vAlign w:val="bottom"/>
            <w:gridSpan w:val="4"/>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Sionna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SION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940" w:type="dxa"/>
            <w:vAlign w:val="bottom"/>
            <w:tcBorders>
              <w:top w:val="single" w:sz="8" w:color="0000EE"/>
            </w:tcBorders>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6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94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06/17/2026</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20" w:type="dxa"/>
            <w:vAlign w:val="bottom"/>
            <w:gridSpan w:val="4"/>
            <w:vMerge w:val="continue"/>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6" w:lineRule="exact"/>
        <w:rPr>
          <w:sz w:val="20"/>
          <w:szCs w:val="20"/>
          <w:color w:val="auto"/>
        </w:rPr>
      </w:pPr>
    </w:p>
    <w:p>
      <w:pPr>
        <w:sectPr>
          <w:pgSz w:w="11900" w:h="16838" w:orient="portrait"/>
          <w:cols w:equalWidth="0" w:num="2">
            <w:col w:w="7680" w:space="55"/>
            <w:col w:w="3345"/>
          </w:cols>
          <w:pgMar w:left="460" w:top="216" w:right="359" w:bottom="0" w:gutter="0" w:footer="0" w:header="0"/>
          <w:type w:val="continuous"/>
        </w:sectPr>
      </w:pP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1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0"/>
          <w:szCs w:val="20"/>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36.73</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06/17/2026</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17,340</w:t>
            </w:r>
          </w:p>
        </w:tc>
        <w:tc>
          <w:tcPr>
            <w:tcW w:w="300" w:type="dxa"/>
            <w:vAlign w:val="bottom"/>
          </w:tcPr>
          <w:p>
            <w:pPr>
              <w:spacing w:after="0"/>
              <w:rPr>
                <w:sz w:val="11"/>
                <w:szCs w:val="11"/>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17,340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17,340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00" w:type="dxa"/>
            <w:vAlign w:val="bottom"/>
          </w:tcPr>
          <w:p>
            <w:pPr>
              <w:ind w:left="80"/>
              <w:spacing w:after="0" w:line="153"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(2)(3)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02116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3"/>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RA Capital Healthcare Fund LP</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RA CAPITAL MANAGEMENT, L.P.</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02116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RA Capital Nexus Fund, L.P.</w:t>
        </w:r>
      </w:hyperlink>
    </w:p>
    <w:p>
      <w:pPr>
        <w:sectPr>
          <w:pgSz w:w="11900" w:h="16838" w:orient="portrait"/>
          <w:cols w:equalWidth="0" w:num="1">
            <w:col w:w="11080"/>
          </w:cols>
          <w:pgMar w:left="460" w:top="216" w:right="359" w:bottom="0" w:gutter="0" w:footer="0" w:header="0"/>
          <w:type w:val="continuous"/>
        </w:sectPr>
      </w:pPr>
    </w:p>
    <w:p>
      <w:pPr>
        <w:spacing w:after="0" w:line="295"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-115570</wp:posOffset>
            </wp:positionV>
            <wp:extent cx="2811780" cy="6182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1780" cy="6182995"/>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8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4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RA Capital Nexus Fund III, L.P.</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16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8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5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MA</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3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2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Kolchinsky Peter</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3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6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1360" w:type="dxa"/>
            <w:vAlign w:val="bottom"/>
            <w:gridSpan w:val="3"/>
          </w:tcPr>
          <w:p>
            <w:pPr>
              <w:ind w:left="20"/>
              <w:spacing w:after="0" w:line="216"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Shah Rajeev M.</w:t>
              </w:r>
            </w:hyperlink>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6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02116</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vest in full upon the earlier of June 17, 2027 or the date of the Issuer's next annual meeting, subject to Dr. Resnick's continued service through such date.</w:t>
      </w:r>
    </w:p>
    <w:p>
      <w:pPr>
        <w:spacing w:after="0" w:line="41" w:lineRule="exact"/>
        <w:rPr>
          <w:rFonts w:ascii="Times New Roman" w:cs="Times New Roman" w:eastAsia="Times New Roman" w:hAnsi="Times New Roman"/>
          <w:sz w:val="13"/>
          <w:szCs w:val="13"/>
          <w:color w:val="008000"/>
        </w:rPr>
      </w:pPr>
    </w:p>
    <w:p>
      <w:pPr>
        <w:ind w:left="20"/>
        <w:spacing w:after="0" w:line="234"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RA Capital Nexus Fund, L.P. (the "Nexus Fund"), RA Capital Nexus Fund III, L.P. (the "Nexus Fund III"), and a separately managed account (the "Account"). The general partner of the Adviser is RA Capital Management GP, LLC (the "Adviser GP"), of which Dr. Peter Kolchinsky and Mr. Rajeev Shah are the managing members. Each of the Adviser, the Adviser GP, the Fund, the Nexus Fund, the Nexus Fund III, Dr. Kolchinsky and Mr. Shah disclaims beneficial ownership of any of the reported securities, except to the extent of its or his pecuniary interest therein.</w:t>
      </w:r>
    </w:p>
    <w:p>
      <w:pPr>
        <w:spacing w:after="0" w:line="27" w:lineRule="exact"/>
        <w:rPr>
          <w:rFonts w:ascii="Times New Roman" w:cs="Times New Roman" w:eastAsia="Times New Roman" w:hAnsi="Times New Roman"/>
          <w:sz w:val="13"/>
          <w:szCs w:val="13"/>
          <w:color w:val="008000"/>
        </w:rPr>
      </w:pPr>
    </w:p>
    <w:p>
      <w:pPr>
        <w:jc w:val="both"/>
        <w:ind w:left="20" w:right="12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Dr. Resnick's arrangement with the Adviser, Dr. Resnick holds the option for the benefit of the Fund, the Nexus Fund, the Nexus Fund III, and the Account. Dr. Resnick is obligated to turn over to the Adviser any net cash or stock received upon exercise of the stock option, which will offset advisory fees owed by the Fund, the Nexus Fund, the Nexus Fund III and the Account to the Adviser. The Reporting Persons therefore disclaim beneficial ownership of the stock option and underlying Common Stock.</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Joshua Resnick, a Partner of the Adviser, serves on the Issuer's board of directors.</w:t>
      </w:r>
    </w:p>
    <w:p>
      <w:pPr>
        <w:sectPr>
          <w:pgSz w:w="11900" w:h="16897" w:orient="portrait"/>
          <w:cols w:equalWidth="0" w:num="1">
            <w:col w:w="10740"/>
          </w:cols>
          <w:pgMar w:left="480" w:top="127" w:right="679" w:bottom="0" w:gutter="0" w:footer="0" w:header="0"/>
        </w:sectPr>
      </w:pPr>
    </w:p>
    <w:p>
      <w:pPr>
        <w:spacing w:after="0" w:line="6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189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63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RA 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311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GP, 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5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 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224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63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RA Capital Nexus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300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52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Nexus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0560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RA Capital Nexus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2566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GP, 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5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RA Capital Nexus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589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8705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8705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507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128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70" w:lineRule="exact"/>
        <w:rPr>
          <w:sz w:val="20"/>
          <w:szCs w:val="20"/>
          <w:color w:val="auto"/>
        </w:rPr>
      </w:pPr>
    </w:p>
    <w:p>
      <w:pPr>
        <w:sectPr>
          <w:pgSz w:w="11900" w:h="16897" w:orient="portrait"/>
          <w:cols w:equalWidth="0" w:num="2">
            <w:col w:w="8720" w:space="60"/>
            <w:col w:w="1960"/>
          </w:cols>
          <w:pgMar w:left="480" w:top="127" w:right="679" w:bottom="0" w:gutter="0" w:footer="0" w:header="0"/>
          <w:type w:val="continuous"/>
        </w:sectPr>
      </w:pPr>
    </w:p>
    <w:p>
      <w:pPr>
        <w:jc w:val="right"/>
        <w:ind w:right="1700"/>
        <w:spacing w:after="0"/>
        <w:tabs>
          <w:tab w:leader="none" w:pos="2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97" w:orient="portrait"/>
          <w:cols w:equalWidth="0" w:num="1">
            <w:col w:w="10740"/>
          </w:cols>
          <w:pgMar w:left="480" w:top="127" w:right="67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2036042" TargetMode="External"/><Relationship Id="rId16"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780117" TargetMode="External"/><Relationship Id="rId19" Type="http://schemas.openxmlformats.org/officeDocument/2006/relationships/hyperlink" Target="http://www.sec.gov/cgi-bin/browse-edgar?action=getcompany&amp;CIK=0001883840" TargetMode="External"/><Relationship Id="rId20" Type="http://schemas.openxmlformats.org/officeDocument/2006/relationships/hyperlink" Target="http://www.sec.gov/cgi-bin/browse-edgar?action=getcompany&amp;CIK=0001384859" TargetMode="External"/><Relationship Id="rId21"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2026-06-18T16:47:45Z</dcterms:created>
  <dcterms:modified xsi:type="dcterms:W3CDTF">2026-06-18T16:47:45Z</dcterms:modified>
</cp:coreProperties>
</file>